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6E9DA" w14:textId="77777777" w:rsidR="00132336" w:rsidRDefault="00132336" w:rsidP="00132336">
      <w:pPr>
        <w:pStyle w:val="Titel"/>
      </w:pPr>
      <w:bookmarkStart w:id="0" w:name="_GoBack"/>
      <w:bookmarkEnd w:id="0"/>
      <w:r>
        <w:t>Voorbeeld afspraken uit prestatieafspraken 2019 ter inspiratie</w:t>
      </w:r>
    </w:p>
    <w:p w14:paraId="2EC60B3D" w14:textId="77777777" w:rsidR="00132336" w:rsidRPr="00132336" w:rsidRDefault="00132336" w:rsidP="00575560">
      <w:pPr>
        <w:spacing w:line="240" w:lineRule="auto"/>
      </w:pPr>
    </w:p>
    <w:p w14:paraId="7EAA0217" w14:textId="77777777" w:rsidR="00D31EC9" w:rsidRDefault="002A6D01" w:rsidP="00575560">
      <w:pPr>
        <w:pStyle w:val="Kop3"/>
        <w:spacing w:line="240" w:lineRule="auto"/>
      </w:pPr>
      <w:r>
        <w:t>Nieuwbouw</w:t>
      </w:r>
    </w:p>
    <w:p w14:paraId="5B1F31E0" w14:textId="77777777" w:rsidR="002A6D01" w:rsidRDefault="002A6D01" w:rsidP="00575560">
      <w:pPr>
        <w:spacing w:line="240" w:lineRule="auto"/>
        <w:rPr>
          <w:b/>
        </w:rPr>
      </w:pPr>
    </w:p>
    <w:p w14:paraId="56C95296" w14:textId="77777777" w:rsidR="002A6D01" w:rsidRPr="002A6D01" w:rsidRDefault="002A6D01" w:rsidP="00575560">
      <w:pPr>
        <w:spacing w:line="240" w:lineRule="auto"/>
        <w:rPr>
          <w:b/>
          <w:i/>
        </w:rPr>
      </w:pPr>
      <w:r>
        <w:rPr>
          <w:b/>
          <w:i/>
        </w:rPr>
        <w:t>Voorbeeld 1</w:t>
      </w:r>
    </w:p>
    <w:p w14:paraId="04723A22" w14:textId="305C59C6" w:rsidR="002A6D01" w:rsidRDefault="002A6D01" w:rsidP="00575560">
      <w:pPr>
        <w:spacing w:line="240" w:lineRule="auto"/>
      </w:pPr>
      <w:r>
        <w:t xml:space="preserve">De gemeente Overbetuwe, Vivare en de huurdersorganisatie hebben concrete procedurele afspraken gemaakt om de woningbouw vlot te trekken. Deze afspraken </w:t>
      </w:r>
      <w:r w:rsidR="00DA09CC">
        <w:t>behelzen</w:t>
      </w:r>
      <w:r>
        <w:t xml:space="preserve"> zowel een duidelijke inzet van de gemeente, als een inzet van de corporatie. De afspraken spreken aan, omdat het vooral ingaat op het gezamenlijke werkproces.</w:t>
      </w:r>
    </w:p>
    <w:p w14:paraId="2D2CE493" w14:textId="77777777" w:rsidR="002A6D01" w:rsidRDefault="002A6D01" w:rsidP="00575560">
      <w:pPr>
        <w:spacing w:line="240" w:lineRule="auto"/>
      </w:pPr>
    </w:p>
    <w:tbl>
      <w:tblPr>
        <w:tblStyle w:val="Tabelrasterlicht"/>
        <w:tblW w:w="14029" w:type="dxa"/>
        <w:tblLook w:val="04A0" w:firstRow="1" w:lastRow="0" w:firstColumn="1" w:lastColumn="0" w:noHBand="0" w:noVBand="1"/>
      </w:tblPr>
      <w:tblGrid>
        <w:gridCol w:w="14029"/>
      </w:tblGrid>
      <w:tr w:rsidR="002A6D01" w:rsidRPr="002A6D01" w14:paraId="57C1767C" w14:textId="77777777" w:rsidTr="0045763A">
        <w:trPr>
          <w:trHeight w:val="855"/>
        </w:trPr>
        <w:tc>
          <w:tcPr>
            <w:tcW w:w="14029" w:type="dxa"/>
            <w:hideMark/>
          </w:tcPr>
          <w:p w14:paraId="2E49940D" w14:textId="77777777" w:rsidR="002A6D01" w:rsidRPr="002A6D01" w:rsidRDefault="002A6D01" w:rsidP="0045763A">
            <w:pPr>
              <w:rPr>
                <w:rFonts w:ascii="Calibri" w:hAnsi="Calibri" w:cs="Calibri"/>
                <w:color w:val="000000"/>
                <w:sz w:val="22"/>
                <w:szCs w:val="22"/>
              </w:rPr>
            </w:pPr>
            <w:r w:rsidRPr="002A6D01">
              <w:rPr>
                <w:rFonts w:ascii="Calibri" w:hAnsi="Calibri" w:cs="Calibri"/>
                <w:color w:val="000000"/>
                <w:sz w:val="22"/>
                <w:szCs w:val="22"/>
              </w:rPr>
              <w:t>Voor ontwikkeling van sociale huurwoningen op grond van projectontwikkelaars volgt de gemeente een stapsgewijze aanpak, passend bij de gemeentelijke systematiek van woningbouwprioritering: de gemeente vraagt voor aanvang aan de ontwikkelende partij een intentieverklaring op te stellen met een toegelaten instelling die de intentie heeft de sociale huurwoningen te exploiteren en/of beheren. In het proces van planvorming maakt de gemeente met de ontwikkelende partij afspraken over het (minimaal) aantal te realiseren sociale huurwoningen. Dit wordt zowel privaatrechtelijk (in intentieovereenkomst en exploitatieovereenkomst) als publiekrechtelijk (In bestemmingsplan) vastgelegd.</w:t>
            </w:r>
          </w:p>
        </w:tc>
      </w:tr>
      <w:tr w:rsidR="002A6D01" w:rsidRPr="002A6D01" w14:paraId="68416BFC" w14:textId="77777777" w:rsidTr="0045763A">
        <w:trPr>
          <w:trHeight w:val="1342"/>
        </w:trPr>
        <w:tc>
          <w:tcPr>
            <w:tcW w:w="14029" w:type="dxa"/>
            <w:hideMark/>
          </w:tcPr>
          <w:p w14:paraId="33EB62FE" w14:textId="77777777" w:rsidR="002A6D01" w:rsidRPr="002A6D01" w:rsidRDefault="002A6D01" w:rsidP="0045763A">
            <w:pPr>
              <w:rPr>
                <w:rFonts w:ascii="Calibri" w:hAnsi="Calibri" w:cs="Calibri"/>
                <w:color w:val="000000"/>
                <w:sz w:val="22"/>
                <w:szCs w:val="22"/>
              </w:rPr>
            </w:pPr>
            <w:r w:rsidRPr="002A6D01">
              <w:rPr>
                <w:rFonts w:ascii="Calibri" w:hAnsi="Calibri" w:cs="Calibri"/>
                <w:color w:val="000000"/>
                <w:sz w:val="22"/>
                <w:szCs w:val="22"/>
              </w:rPr>
              <w:t>De gemeente werkt in samenspraak met  Vivare in de eerste helft van 2019 een voorstel uit voor sociale m2-prijzen bij de projecten De Pas en Stationslocatie. Vivare en gemeente beginnen in 2019 bij de locatie Station een pilot met een integrale projectleider vanuit beide organisaties. Deze projectleiders hebben de volgende taken: Versnelling aanbrengen in de realisatie van woningen door betere afstemming tussen afdelingen en organisaties, procesoptimalisatie vorstellen in de samenwerking, onderdeel van de pilot is dat Vivare het bestemmingsplan uitwerkt. De gemeente blijft wel eindverantwoordelijk voor het bestemmingsplan.</w:t>
            </w:r>
          </w:p>
        </w:tc>
      </w:tr>
      <w:tr w:rsidR="002A6D01" w:rsidRPr="002A6D01" w14:paraId="7DE07FD9" w14:textId="77777777" w:rsidTr="0045763A">
        <w:trPr>
          <w:trHeight w:val="837"/>
        </w:trPr>
        <w:tc>
          <w:tcPr>
            <w:tcW w:w="14029" w:type="dxa"/>
            <w:hideMark/>
          </w:tcPr>
          <w:p w14:paraId="30D887DA" w14:textId="77777777" w:rsidR="002A6D01" w:rsidRPr="002A6D01" w:rsidRDefault="002A6D01" w:rsidP="0045763A">
            <w:pPr>
              <w:rPr>
                <w:rFonts w:ascii="Calibri" w:hAnsi="Calibri" w:cs="Calibri"/>
                <w:color w:val="000000"/>
                <w:sz w:val="22"/>
                <w:szCs w:val="22"/>
              </w:rPr>
            </w:pPr>
            <w:r w:rsidRPr="002A6D01">
              <w:rPr>
                <w:rFonts w:ascii="Calibri" w:hAnsi="Calibri" w:cs="Calibri"/>
                <w:color w:val="000000"/>
                <w:sz w:val="22"/>
                <w:szCs w:val="22"/>
              </w:rPr>
              <w:t xml:space="preserve">Vivare neemt het initiatief om met twee grondeigenaren in gesprek te gaan over realisatie van sociale huurwoningen op twee locaties: Land van Tap. Hier zoekt de gemeente een projectontwikkelaar en wordt Vivare vooraf betrokken bij de ontwikkeling. Het klooster. Hier gaat Vivare op voorspraak van de gemeente in gesprek met de ontwikkelende partij. </w:t>
            </w:r>
          </w:p>
        </w:tc>
      </w:tr>
    </w:tbl>
    <w:p w14:paraId="289596E1" w14:textId="77777777" w:rsidR="002A6D01" w:rsidRDefault="002A6D01" w:rsidP="00A01932"/>
    <w:p w14:paraId="0DC9F0B6" w14:textId="4731A439" w:rsidR="002A6D01" w:rsidRDefault="002A6D01" w:rsidP="00A01932">
      <w:pPr>
        <w:rPr>
          <w:b/>
          <w:i/>
        </w:rPr>
      </w:pPr>
      <w:r>
        <w:rPr>
          <w:b/>
          <w:i/>
        </w:rPr>
        <w:t>Voorbeeld 2</w:t>
      </w:r>
    </w:p>
    <w:p w14:paraId="172427B9" w14:textId="710FBCEB" w:rsidR="002A6D01" w:rsidRDefault="002A6D01" w:rsidP="00A01932">
      <w:r>
        <w:t>In de prestatieafspraken tussen de gemeente Noordwijk, de Noordwijkse Woningstichting en huurdersorganisatie is veel aandacht voor een gezamenlijke aanpak. De genoemde activiteiten benoemen steeds een gezamenlijke inzet, in plaats van gescheiden wegen.</w:t>
      </w:r>
    </w:p>
    <w:p w14:paraId="3BEA4920" w14:textId="77777777" w:rsidR="00DA09CC" w:rsidRDefault="00DA09CC" w:rsidP="00DA09CC"/>
    <w:tbl>
      <w:tblPr>
        <w:tblStyle w:val="Tabelrasterlicht"/>
        <w:tblW w:w="14029" w:type="dxa"/>
        <w:tblLook w:val="04A0" w:firstRow="1" w:lastRow="0" w:firstColumn="1" w:lastColumn="0" w:noHBand="0" w:noVBand="1"/>
      </w:tblPr>
      <w:tblGrid>
        <w:gridCol w:w="14029"/>
      </w:tblGrid>
      <w:tr w:rsidR="00DA09CC" w:rsidRPr="002A6D01" w14:paraId="6EB5796E" w14:textId="77777777" w:rsidTr="0045763A">
        <w:trPr>
          <w:trHeight w:val="557"/>
        </w:trPr>
        <w:tc>
          <w:tcPr>
            <w:tcW w:w="14029" w:type="dxa"/>
            <w:hideMark/>
          </w:tcPr>
          <w:p w14:paraId="49697B8C" w14:textId="5DD17C45" w:rsidR="00DA09CC" w:rsidRPr="002A6D01" w:rsidRDefault="00DA09CC" w:rsidP="0045763A">
            <w:pPr>
              <w:rPr>
                <w:rFonts w:ascii="Calibri" w:hAnsi="Calibri" w:cs="Calibri"/>
                <w:color w:val="000000"/>
                <w:sz w:val="22"/>
                <w:szCs w:val="22"/>
              </w:rPr>
            </w:pPr>
            <w:r w:rsidRPr="002A6D01">
              <w:rPr>
                <w:rFonts w:ascii="Calibri" w:hAnsi="Calibri" w:cs="Calibri"/>
                <w:color w:val="000000"/>
                <w:sz w:val="22"/>
                <w:szCs w:val="22"/>
              </w:rPr>
              <w:t>Een ambtelijk aanjaagteam van gemeente en NWS is belast met monitoren en waar</w:t>
            </w:r>
            <w:r>
              <w:rPr>
                <w:rFonts w:ascii="Calibri" w:hAnsi="Calibri" w:cs="Calibri"/>
                <w:color w:val="000000"/>
                <w:sz w:val="22"/>
                <w:szCs w:val="22"/>
              </w:rPr>
              <w:t xml:space="preserve"> </w:t>
            </w:r>
            <w:r w:rsidRPr="002A6D01">
              <w:rPr>
                <w:rFonts w:ascii="Calibri" w:hAnsi="Calibri" w:cs="Calibri"/>
                <w:color w:val="000000"/>
                <w:sz w:val="22"/>
                <w:szCs w:val="22"/>
              </w:rPr>
              <w:t>mogelijk versnellen van sociale nieuwbouwplannen. Het A-team adviseert aan het</w:t>
            </w:r>
            <w:r>
              <w:rPr>
                <w:rFonts w:ascii="Calibri" w:hAnsi="Calibri" w:cs="Calibri"/>
                <w:color w:val="000000"/>
                <w:sz w:val="22"/>
                <w:szCs w:val="22"/>
              </w:rPr>
              <w:t xml:space="preserve"> </w:t>
            </w:r>
            <w:r w:rsidRPr="002A6D01">
              <w:rPr>
                <w:rFonts w:ascii="Calibri" w:hAnsi="Calibri" w:cs="Calibri"/>
                <w:color w:val="000000"/>
                <w:sz w:val="22"/>
                <w:szCs w:val="22"/>
              </w:rPr>
              <w:t>Bestuurlijk Driehoeksoverleg.</w:t>
            </w:r>
          </w:p>
        </w:tc>
      </w:tr>
      <w:tr w:rsidR="00DA09CC" w:rsidRPr="002A6D01" w14:paraId="0272707A" w14:textId="77777777" w:rsidTr="0045763A">
        <w:trPr>
          <w:trHeight w:val="292"/>
        </w:trPr>
        <w:tc>
          <w:tcPr>
            <w:tcW w:w="14029" w:type="dxa"/>
            <w:hideMark/>
          </w:tcPr>
          <w:p w14:paraId="43006D6B" w14:textId="081495CB" w:rsidR="00DA09CC" w:rsidRPr="002A6D01" w:rsidRDefault="00DA09CC" w:rsidP="0045763A">
            <w:pPr>
              <w:rPr>
                <w:rFonts w:ascii="Calibri" w:hAnsi="Calibri" w:cs="Calibri"/>
                <w:color w:val="000000"/>
                <w:sz w:val="22"/>
                <w:szCs w:val="22"/>
              </w:rPr>
            </w:pPr>
            <w:r>
              <w:rPr>
                <w:rFonts w:ascii="Calibri" w:hAnsi="Calibri" w:cs="Calibri"/>
                <w:color w:val="000000"/>
                <w:sz w:val="22"/>
                <w:szCs w:val="22"/>
              </w:rPr>
              <w:t>Partijen rapporteren jaarlijks over de voortgang van de sociale woningbouw een de gemeenteraad, RVC van de NWS en het bestuur van de SHN.</w:t>
            </w:r>
          </w:p>
        </w:tc>
      </w:tr>
    </w:tbl>
    <w:p w14:paraId="3CD95E13" w14:textId="6DD71B5C" w:rsidR="00DA09CC" w:rsidRDefault="00DA09CC" w:rsidP="002A6D01">
      <w:pPr>
        <w:pStyle w:val="Kop3"/>
        <w:rPr>
          <w:rFonts w:ascii="Calibri" w:hAnsi="Calibri" w:cs="Calibri"/>
          <w:b w:val="0"/>
          <w:bCs w:val="0"/>
          <w:color w:val="000000"/>
          <w:sz w:val="22"/>
          <w:szCs w:val="22"/>
        </w:rPr>
      </w:pPr>
    </w:p>
    <w:p w14:paraId="70417781" w14:textId="77777777" w:rsidR="009B4C02" w:rsidRPr="009B4C02" w:rsidRDefault="009B4C02" w:rsidP="009B4C02"/>
    <w:p w14:paraId="755E3E1E" w14:textId="7FD22B70" w:rsidR="002A6D01" w:rsidRDefault="002A6D01" w:rsidP="002A6D01">
      <w:pPr>
        <w:pStyle w:val="Kop3"/>
      </w:pPr>
      <w:r>
        <w:t>Wonen en zorg</w:t>
      </w:r>
    </w:p>
    <w:p w14:paraId="3B81EC00" w14:textId="77777777" w:rsidR="002A6D01" w:rsidRDefault="002A6D01" w:rsidP="002A6D01">
      <w:pPr>
        <w:rPr>
          <w:b/>
          <w:i/>
        </w:rPr>
      </w:pPr>
      <w:r>
        <w:rPr>
          <w:b/>
          <w:i/>
        </w:rPr>
        <w:lastRenderedPageBreak/>
        <w:t>Voorbeeld 1</w:t>
      </w:r>
    </w:p>
    <w:p w14:paraId="02479372" w14:textId="61ECC4BD" w:rsidR="002A6D01" w:rsidRDefault="002A6D01" w:rsidP="002A6D01">
      <w:r>
        <w:t xml:space="preserve">In Baarn bekostigen de gemeente en corporatie gezamenlijk de inzet van een verhuiscoach. Elk vanuit een eigen belang voor een goed functionerende woningmarkt en het </w:t>
      </w:r>
      <w:r w:rsidR="00A93EDD">
        <w:t>vrij krijgen</w:t>
      </w:r>
      <w:r>
        <w:t xml:space="preserve"> van woningen; vanuit langer zelfstandig wonen en vanuit passend wonen naar levensfase.</w:t>
      </w:r>
    </w:p>
    <w:p w14:paraId="0EF02EEB" w14:textId="77777777" w:rsidR="002A6D01" w:rsidRDefault="002A6D01" w:rsidP="002A6D01"/>
    <w:tbl>
      <w:tblPr>
        <w:tblStyle w:val="Tabelrasterlicht"/>
        <w:tblW w:w="14029" w:type="dxa"/>
        <w:tblLook w:val="04A0" w:firstRow="1" w:lastRow="0" w:firstColumn="1" w:lastColumn="0" w:noHBand="0" w:noVBand="1"/>
      </w:tblPr>
      <w:tblGrid>
        <w:gridCol w:w="14029"/>
      </w:tblGrid>
      <w:tr w:rsidR="002A6D01" w14:paraId="794E3150" w14:textId="77777777" w:rsidTr="0045763A">
        <w:tc>
          <w:tcPr>
            <w:tcW w:w="14029" w:type="dxa"/>
          </w:tcPr>
          <w:p w14:paraId="2F44B12F" w14:textId="53446F42" w:rsidR="002A6D01" w:rsidRPr="002A6D01" w:rsidRDefault="002A6D01" w:rsidP="002A6D01">
            <w:pPr>
              <w:rPr>
                <w:rFonts w:ascii="Calibri" w:hAnsi="Calibri" w:cs="Calibri"/>
                <w:color w:val="000000"/>
                <w:sz w:val="22"/>
                <w:szCs w:val="22"/>
              </w:rPr>
            </w:pPr>
            <w:r w:rsidRPr="002A6D01">
              <w:rPr>
                <w:rFonts w:ascii="Calibri" w:hAnsi="Calibri" w:cs="Calibri"/>
                <w:color w:val="000000"/>
                <w:sz w:val="22"/>
                <w:szCs w:val="22"/>
              </w:rPr>
              <w:t xml:space="preserve">Eemland Wonen en de gemeente hebben in 2017 een verhuiscoach aangesteld. Doel is om te bevorderen dat senioren verhuizen naar een geschiktere woning dan waar zij op dat moment wonen. Eemland Wonen draagt voor een periode van drie jaar de helft van de kosten van de verhuiscoach. Mocht blijken dat op grond van rapportages van de verhuiscoach het beperken van huursprongen voor ouderen die een woning van Eemland Wonen huren een </w:t>
            </w:r>
            <w:r w:rsidR="0045763A" w:rsidRPr="002A6D01">
              <w:rPr>
                <w:rFonts w:ascii="Calibri" w:hAnsi="Calibri" w:cs="Calibri"/>
                <w:color w:val="000000"/>
                <w:sz w:val="22"/>
                <w:szCs w:val="22"/>
              </w:rPr>
              <w:t>noodzakelijke</w:t>
            </w:r>
            <w:r w:rsidRPr="002A6D01">
              <w:rPr>
                <w:rFonts w:ascii="Calibri" w:hAnsi="Calibri" w:cs="Calibri"/>
                <w:color w:val="000000"/>
                <w:sz w:val="22"/>
                <w:szCs w:val="22"/>
              </w:rPr>
              <w:t xml:space="preserve"> voorwaarde is om te verhuizen naar een meer geschikte woning van Eemland Wonen, dan overleggen de gemeente, Eemland Wonen en het bestuur van de Huurdersraad Eemland over het opstellen van een passend beleid. </w:t>
            </w:r>
            <w:proofErr w:type="spellStart"/>
            <w:r w:rsidRPr="002A6D01">
              <w:rPr>
                <w:rFonts w:ascii="Calibri" w:hAnsi="Calibri" w:cs="Calibri"/>
                <w:color w:val="000000"/>
                <w:sz w:val="22"/>
                <w:szCs w:val="22"/>
              </w:rPr>
              <w:t>ln</w:t>
            </w:r>
            <w:proofErr w:type="spellEnd"/>
            <w:r w:rsidRPr="002A6D01">
              <w:rPr>
                <w:rFonts w:ascii="Calibri" w:hAnsi="Calibri" w:cs="Calibri"/>
                <w:color w:val="000000"/>
                <w:sz w:val="22"/>
                <w:szCs w:val="22"/>
              </w:rPr>
              <w:t xml:space="preserve"> 2019 zal de inzet van de verhuiscoach worden geëvalueerd.</w:t>
            </w:r>
          </w:p>
        </w:tc>
      </w:tr>
    </w:tbl>
    <w:p w14:paraId="47C6B0B7" w14:textId="77777777" w:rsidR="002A6D01" w:rsidRDefault="002A6D01" w:rsidP="00575560">
      <w:pPr>
        <w:spacing w:line="240" w:lineRule="auto"/>
      </w:pPr>
    </w:p>
    <w:p w14:paraId="2C7630A0" w14:textId="77777777" w:rsidR="002A6D01" w:rsidRDefault="002A6D01" w:rsidP="00575560">
      <w:pPr>
        <w:spacing w:line="240" w:lineRule="auto"/>
        <w:rPr>
          <w:b/>
          <w:i/>
        </w:rPr>
      </w:pPr>
      <w:r>
        <w:rPr>
          <w:b/>
          <w:i/>
        </w:rPr>
        <w:t>Voorbeeld 2</w:t>
      </w:r>
    </w:p>
    <w:p w14:paraId="4D34434A" w14:textId="77777777" w:rsidR="002A6D01" w:rsidRPr="00575560" w:rsidRDefault="002A6D01" w:rsidP="00575560">
      <w:pPr>
        <w:spacing w:line="240" w:lineRule="auto"/>
        <w:rPr>
          <w:rFonts w:ascii="Calibri" w:hAnsi="Calibri" w:cs="Calibri"/>
          <w:color w:val="000000"/>
        </w:rPr>
      </w:pPr>
      <w:r w:rsidRPr="00575560">
        <w:rPr>
          <w:rFonts w:ascii="Calibri" w:hAnsi="Calibri" w:cs="Calibri"/>
          <w:color w:val="000000"/>
        </w:rPr>
        <w:t>Voor de gemeente Zeist is er een belang om de claim op woningaanpassingen te beperken, en daarmee een effectieve inzet van maatschappelijk geldt. De RKWBV in Zeist wil hier wel aan meewerken, mits dit niet te grote huurderving betekent. In de volgende afspraak is evenwicht gevonden tussen de inzet en het belang van beide organisaties.</w:t>
      </w:r>
    </w:p>
    <w:p w14:paraId="3BCD43F1" w14:textId="4CB45356" w:rsidR="00A93EDD" w:rsidRDefault="00A93EDD" w:rsidP="009B4C02">
      <w:pPr>
        <w:spacing w:line="240" w:lineRule="auto"/>
        <w:rPr>
          <w:rFonts w:ascii="Calibri" w:hAnsi="Calibri" w:cs="Calibri"/>
          <w:color w:val="000000"/>
          <w:sz w:val="22"/>
          <w:szCs w:val="22"/>
        </w:rPr>
      </w:pPr>
    </w:p>
    <w:tbl>
      <w:tblPr>
        <w:tblStyle w:val="Tabelrasterlicht"/>
        <w:tblW w:w="14029" w:type="dxa"/>
        <w:tblLook w:val="04A0" w:firstRow="1" w:lastRow="0" w:firstColumn="1" w:lastColumn="0" w:noHBand="0" w:noVBand="1"/>
      </w:tblPr>
      <w:tblGrid>
        <w:gridCol w:w="14029"/>
      </w:tblGrid>
      <w:tr w:rsidR="00A93EDD" w:rsidRPr="002A6D01" w14:paraId="7D1CCABD" w14:textId="77777777" w:rsidTr="0045763A">
        <w:trPr>
          <w:trHeight w:val="855"/>
        </w:trPr>
        <w:tc>
          <w:tcPr>
            <w:tcW w:w="14029" w:type="dxa"/>
            <w:hideMark/>
          </w:tcPr>
          <w:p w14:paraId="1B9D5043" w14:textId="7DA1A3D4" w:rsidR="00A93EDD" w:rsidRPr="002A6D01" w:rsidRDefault="00A93EDD" w:rsidP="0045763A">
            <w:pPr>
              <w:rPr>
                <w:rFonts w:ascii="Calibri" w:hAnsi="Calibri" w:cs="Calibri"/>
                <w:color w:val="000000"/>
                <w:sz w:val="22"/>
                <w:szCs w:val="22"/>
              </w:rPr>
            </w:pPr>
            <w:r w:rsidRPr="002A6D01">
              <w:rPr>
                <w:rFonts w:ascii="Calibri" w:hAnsi="Calibri" w:cs="Calibri"/>
                <w:color w:val="000000"/>
                <w:sz w:val="22"/>
                <w:szCs w:val="22"/>
              </w:rPr>
              <w:t>Vrijgekomen woningen voor gehandicapten (investeringen vanaf € 7.000,-) worden direct toegewezen aan mensen van de wachtlijst. De gemeente bemiddelt en de corporatie houdt de woning maximaal 6 maanden vrij, gemeente vergoedt vanaf maand 2 tot en met maand 6 (de eerste maand leegstand is voor de corporatie).</w:t>
            </w:r>
          </w:p>
        </w:tc>
      </w:tr>
      <w:tr w:rsidR="00A93EDD" w:rsidRPr="002A6D01" w14:paraId="500D7D87" w14:textId="77777777" w:rsidTr="0045763A">
        <w:trPr>
          <w:trHeight w:val="747"/>
        </w:trPr>
        <w:tc>
          <w:tcPr>
            <w:tcW w:w="14029" w:type="dxa"/>
            <w:hideMark/>
          </w:tcPr>
          <w:p w14:paraId="549AC1E6" w14:textId="7D2F55A9" w:rsidR="00A93EDD" w:rsidRPr="002A6D01" w:rsidRDefault="00A93EDD" w:rsidP="0045763A">
            <w:pPr>
              <w:rPr>
                <w:rFonts w:ascii="Calibri" w:hAnsi="Calibri" w:cs="Calibri"/>
                <w:color w:val="000000"/>
                <w:sz w:val="22"/>
                <w:szCs w:val="22"/>
              </w:rPr>
            </w:pPr>
            <w:r w:rsidRPr="00132336">
              <w:rPr>
                <w:rFonts w:ascii="Calibri" w:hAnsi="Calibri" w:cs="Calibri"/>
                <w:color w:val="000000"/>
                <w:sz w:val="22"/>
                <w:szCs w:val="22"/>
              </w:rPr>
              <w:t>Alle uitstroom wordt via één regeling, Beter Wonen, geregeld. Instellingen</w:t>
            </w:r>
            <w:r>
              <w:rPr>
                <w:rFonts w:ascii="Calibri" w:hAnsi="Calibri" w:cs="Calibri"/>
                <w:color w:val="000000"/>
                <w:sz w:val="22"/>
                <w:szCs w:val="22"/>
              </w:rPr>
              <w:t xml:space="preserve"> </w:t>
            </w:r>
            <w:r w:rsidRPr="00132336">
              <w:rPr>
                <w:rFonts w:ascii="Calibri" w:hAnsi="Calibri" w:cs="Calibri"/>
                <w:color w:val="000000"/>
                <w:sz w:val="22"/>
                <w:szCs w:val="22"/>
              </w:rPr>
              <w:t>kunnen zich hierbij aanmelden. Jaarlijks wordt door het college het aantal woningen vastgelegd dat via deze regeling beschikbaar komt, voor 2019 zijn dit er 15. Dit aantal kan na een half jaar worden bijgesteld als blijkt dat de vraag groter is dan het aanbod.</w:t>
            </w:r>
          </w:p>
        </w:tc>
      </w:tr>
      <w:tr w:rsidR="00A93EDD" w:rsidRPr="002A6D01" w14:paraId="74CB5916" w14:textId="77777777" w:rsidTr="0045763A">
        <w:trPr>
          <w:trHeight w:val="837"/>
        </w:trPr>
        <w:tc>
          <w:tcPr>
            <w:tcW w:w="14029" w:type="dxa"/>
            <w:hideMark/>
          </w:tcPr>
          <w:p w14:paraId="3095903E" w14:textId="478CA387" w:rsidR="00A93EDD" w:rsidRPr="002A6D01" w:rsidRDefault="00A93EDD" w:rsidP="0045763A">
            <w:pPr>
              <w:rPr>
                <w:rFonts w:ascii="Calibri" w:hAnsi="Calibri" w:cs="Calibri"/>
                <w:color w:val="000000"/>
                <w:sz w:val="22"/>
                <w:szCs w:val="22"/>
              </w:rPr>
            </w:pPr>
            <w:r w:rsidRPr="00132336">
              <w:rPr>
                <w:rFonts w:ascii="Calibri" w:hAnsi="Calibri" w:cs="Calibri"/>
                <w:color w:val="000000"/>
                <w:sz w:val="22"/>
                <w:szCs w:val="22"/>
              </w:rPr>
              <w:t>Corporaties en gemeente werken met de ‘doorbraak’ gedachte om voor ingewikkelde casussen een oplossing te bieden. De gemeente stelt hier een doorbraakbudget voor beschikbaar. Corporaties stellen in 2019 maximaal 10 woningen beschikbaar die bij deze casussen als maatwerkoplossing kunnen worden ingezet. Dit gebeurt in samenwerking met CJG en het Sociaal Team. Hierdoor wordt voorkomen dat de hardheidsclausule wordt toegepast en het past binnen de 25% Lokaal Maatwerk. Deze werkwijze geldt alleen voor gevallen waarbij andere mogelijkheden (urgentie, Beter Wonen) niet mogelijk zijn. Sociaal Team en CJG evalueren uiterlijk januari 2019 de casussen 2018.</w:t>
            </w:r>
          </w:p>
        </w:tc>
      </w:tr>
    </w:tbl>
    <w:p w14:paraId="38259488" w14:textId="77777777" w:rsidR="00A93EDD" w:rsidRDefault="00A93EDD" w:rsidP="00A93EDD"/>
    <w:p w14:paraId="3014BF66" w14:textId="77777777" w:rsidR="002A6D01" w:rsidRPr="00575560" w:rsidRDefault="002A6D01" w:rsidP="002A6D01">
      <w:pPr>
        <w:spacing w:line="240" w:lineRule="auto"/>
        <w:rPr>
          <w:rFonts w:ascii="Calibri" w:hAnsi="Calibri" w:cs="Calibri"/>
          <w:b/>
          <w:i/>
          <w:color w:val="000000"/>
        </w:rPr>
      </w:pPr>
      <w:r w:rsidRPr="00575560">
        <w:rPr>
          <w:rFonts w:ascii="Calibri" w:hAnsi="Calibri" w:cs="Calibri"/>
          <w:b/>
          <w:i/>
          <w:color w:val="000000"/>
        </w:rPr>
        <w:t>Voorbeeld 3</w:t>
      </w:r>
    </w:p>
    <w:p w14:paraId="26FF7A35" w14:textId="77777777" w:rsidR="002A6D01" w:rsidRPr="00575560" w:rsidRDefault="002A6D01" w:rsidP="002A6D01">
      <w:pPr>
        <w:spacing w:line="240" w:lineRule="auto"/>
        <w:rPr>
          <w:rFonts w:ascii="Calibri" w:hAnsi="Calibri" w:cs="Calibri"/>
          <w:color w:val="000000"/>
        </w:rPr>
      </w:pPr>
      <w:r w:rsidRPr="00575560">
        <w:rPr>
          <w:rFonts w:ascii="Calibri" w:hAnsi="Calibri" w:cs="Calibri"/>
          <w:color w:val="000000"/>
        </w:rPr>
        <w:t xml:space="preserve">In dezelfde lijn als voorbeeld 2 hebben de corporaties en gemeente De </w:t>
      </w:r>
      <w:proofErr w:type="spellStart"/>
      <w:r w:rsidRPr="00575560">
        <w:rPr>
          <w:rFonts w:ascii="Calibri" w:hAnsi="Calibri" w:cs="Calibri"/>
          <w:color w:val="000000"/>
        </w:rPr>
        <w:t>Fryske</w:t>
      </w:r>
      <w:proofErr w:type="spellEnd"/>
      <w:r w:rsidRPr="00575560">
        <w:rPr>
          <w:rFonts w:ascii="Calibri" w:hAnsi="Calibri" w:cs="Calibri"/>
          <w:color w:val="000000"/>
        </w:rPr>
        <w:t xml:space="preserve"> Marren nagedacht over het beschikbaar houden van aangepaste woningen. Deze afspraak is minder financieel gekleurd, maar geeft wel duidelijk aan wat de partijen vanuit eigen inzet hieraan kunnen bijdragen. Het samenwerkingsproces is hierbij verankerd, breder dan enkel de ‘woonpartijen’ maar ook richting wijkteam. </w:t>
      </w:r>
    </w:p>
    <w:p w14:paraId="3200080A" w14:textId="77777777" w:rsidR="002A6D01" w:rsidRDefault="002A6D01" w:rsidP="002A6D01">
      <w:pPr>
        <w:spacing w:line="240" w:lineRule="auto"/>
        <w:rPr>
          <w:rFonts w:ascii="Calibri" w:hAnsi="Calibri" w:cs="Calibri"/>
          <w:color w:val="000000"/>
          <w:sz w:val="22"/>
          <w:szCs w:val="22"/>
        </w:rPr>
      </w:pPr>
    </w:p>
    <w:tbl>
      <w:tblPr>
        <w:tblStyle w:val="Tabelrasterlicht"/>
        <w:tblW w:w="0" w:type="auto"/>
        <w:tblLook w:val="04A0" w:firstRow="1" w:lastRow="0" w:firstColumn="1" w:lastColumn="0" w:noHBand="0" w:noVBand="1"/>
      </w:tblPr>
      <w:tblGrid>
        <w:gridCol w:w="13994"/>
      </w:tblGrid>
      <w:tr w:rsidR="002A6D01" w14:paraId="4F03E171" w14:textId="77777777" w:rsidTr="002A6D01">
        <w:tc>
          <w:tcPr>
            <w:tcW w:w="13998" w:type="dxa"/>
          </w:tcPr>
          <w:p w14:paraId="464137BB" w14:textId="77777777" w:rsidR="002A6D01" w:rsidRDefault="002A6D01" w:rsidP="002A6D01">
            <w:pPr>
              <w:rPr>
                <w:rFonts w:ascii="Calibri" w:hAnsi="Calibri" w:cs="Calibri"/>
                <w:color w:val="000000"/>
                <w:sz w:val="22"/>
                <w:szCs w:val="22"/>
              </w:rPr>
            </w:pPr>
            <w:r w:rsidRPr="002A6D01">
              <w:rPr>
                <w:rFonts w:ascii="Calibri" w:hAnsi="Calibri" w:cs="Calibri"/>
                <w:color w:val="000000"/>
                <w:sz w:val="22"/>
                <w:szCs w:val="22"/>
              </w:rPr>
              <w:lastRenderedPageBreak/>
              <w:t>De gemeente en de corporaties bieden maatwerk bij de toewijzing van toegankelijke woningen (zoals aangepaste woningen voor rolstoelgebruikers). Vraag en aanbod worden besproken. De corporaties wijzen het sociaal wijkteam van de gemeente op vrijkomende woningen, het sociaal wijkteam van de gemeente wijst de corporaties op personen of families die voor een dergelijke woning in aanmerking komen.</w:t>
            </w:r>
          </w:p>
        </w:tc>
      </w:tr>
    </w:tbl>
    <w:p w14:paraId="62EC8417" w14:textId="77777777" w:rsidR="002A6D01" w:rsidRDefault="002A6D01" w:rsidP="002A6D01">
      <w:pPr>
        <w:spacing w:line="240" w:lineRule="auto"/>
        <w:rPr>
          <w:rFonts w:ascii="Calibri" w:hAnsi="Calibri" w:cs="Calibri"/>
          <w:color w:val="000000"/>
          <w:sz w:val="22"/>
          <w:szCs w:val="22"/>
        </w:rPr>
      </w:pPr>
    </w:p>
    <w:p w14:paraId="7CB828FB" w14:textId="77777777" w:rsidR="002A6D01" w:rsidRDefault="00132336" w:rsidP="002A6D01">
      <w:pPr>
        <w:pStyle w:val="Kop3"/>
      </w:pPr>
      <w:r>
        <w:t>Energietransitie</w:t>
      </w:r>
    </w:p>
    <w:p w14:paraId="40091354" w14:textId="77777777" w:rsidR="002A6D01" w:rsidRDefault="002A6D01" w:rsidP="002A6D01"/>
    <w:p w14:paraId="373757F4" w14:textId="77777777" w:rsidR="00132336" w:rsidRDefault="00132336" w:rsidP="002A6D01">
      <w:pPr>
        <w:rPr>
          <w:b/>
          <w:i/>
        </w:rPr>
      </w:pPr>
      <w:r>
        <w:rPr>
          <w:b/>
          <w:i/>
        </w:rPr>
        <w:t>Voorbeeld 1</w:t>
      </w:r>
    </w:p>
    <w:p w14:paraId="61360EB2" w14:textId="77777777" w:rsidR="00132336" w:rsidRDefault="00132336" w:rsidP="00575560">
      <w:pPr>
        <w:spacing w:line="240" w:lineRule="auto"/>
      </w:pPr>
      <w:r>
        <w:t>De gemeente Gorinchem, Poort6 en HP6 hebben afspraken gemaakt over de aanpak van wijken die als eerste van het gas af moeten. Hiervoor is voor de pilotwijken een medewerker aangewezen. Daarnaast hebben zij een proces uitgestippeld met enkele concrete acties. Daarin zijn zowel acties voor de gemeente, corporatie als huurdersorganisatie opgenomen.</w:t>
      </w:r>
    </w:p>
    <w:p w14:paraId="71DEA172" w14:textId="77777777" w:rsidR="00132336" w:rsidRPr="00132336" w:rsidRDefault="00132336" w:rsidP="002A6D01"/>
    <w:tbl>
      <w:tblPr>
        <w:tblStyle w:val="Tabelrasterlicht"/>
        <w:tblW w:w="14029" w:type="dxa"/>
        <w:tblLook w:val="04A0" w:firstRow="1" w:lastRow="0" w:firstColumn="1" w:lastColumn="0" w:noHBand="0" w:noVBand="1"/>
      </w:tblPr>
      <w:tblGrid>
        <w:gridCol w:w="14029"/>
      </w:tblGrid>
      <w:tr w:rsidR="00132336" w:rsidRPr="00132336" w14:paraId="4E8EF7F1" w14:textId="77777777" w:rsidTr="00132336">
        <w:trPr>
          <w:trHeight w:val="795"/>
        </w:trPr>
        <w:tc>
          <w:tcPr>
            <w:tcW w:w="14029" w:type="dxa"/>
            <w:hideMark/>
          </w:tcPr>
          <w:p w14:paraId="04E48A01" w14:textId="77777777" w:rsidR="00132336" w:rsidRPr="00132336" w:rsidRDefault="00132336" w:rsidP="0045763A">
            <w:pPr>
              <w:rPr>
                <w:rFonts w:ascii="Calibri" w:hAnsi="Calibri" w:cs="Calibri"/>
                <w:color w:val="000000"/>
                <w:sz w:val="22"/>
                <w:szCs w:val="22"/>
              </w:rPr>
            </w:pPr>
            <w:r w:rsidRPr="00132336">
              <w:rPr>
                <w:rFonts w:ascii="Calibri" w:hAnsi="Calibri" w:cs="Calibri"/>
                <w:color w:val="000000"/>
                <w:sz w:val="22"/>
                <w:szCs w:val="22"/>
              </w:rPr>
              <w:t xml:space="preserve">Doel is om te komen tot een co2-neutrale gemeente in 2050, middels een gebiedsgerichte aanpak, te beginnen in </w:t>
            </w:r>
            <w:proofErr w:type="spellStart"/>
            <w:r w:rsidRPr="00132336">
              <w:rPr>
                <w:rFonts w:ascii="Calibri" w:hAnsi="Calibri" w:cs="Calibri"/>
                <w:color w:val="000000"/>
                <w:sz w:val="22"/>
                <w:szCs w:val="22"/>
              </w:rPr>
              <w:t>Gildenwijk</w:t>
            </w:r>
            <w:proofErr w:type="spellEnd"/>
            <w:r w:rsidRPr="00132336">
              <w:rPr>
                <w:rFonts w:ascii="Calibri" w:hAnsi="Calibri" w:cs="Calibri"/>
                <w:color w:val="000000"/>
                <w:sz w:val="22"/>
                <w:szCs w:val="22"/>
              </w:rPr>
              <w:t xml:space="preserve"> en Haarwijk. De gemeente stelt samen met de gemeente Molenlanden in 2019 een regionale energiestrategie op. De gemeente werkt haar plan energietransitie met nadere prioritering voor wijken uiterlijk in 2021 uit. Zij neemt de regie over de gebiedsgerichte aanpak door de inzet van een energietransitie-manager. Deze functionaris organiseert het proces, de afstemming tussen partijen en communicatie hierover met partners en bewoners. </w:t>
            </w:r>
          </w:p>
        </w:tc>
      </w:tr>
      <w:tr w:rsidR="00132336" w:rsidRPr="00132336" w14:paraId="4621815E" w14:textId="77777777" w:rsidTr="00132336">
        <w:trPr>
          <w:trHeight w:val="839"/>
        </w:trPr>
        <w:tc>
          <w:tcPr>
            <w:tcW w:w="14029" w:type="dxa"/>
            <w:hideMark/>
          </w:tcPr>
          <w:p w14:paraId="5DCABF80" w14:textId="77777777" w:rsidR="00132336" w:rsidRPr="00132336" w:rsidRDefault="00132336" w:rsidP="0045763A">
            <w:pPr>
              <w:rPr>
                <w:rFonts w:ascii="Calibri" w:hAnsi="Calibri" w:cs="Calibri"/>
                <w:color w:val="000000"/>
                <w:sz w:val="22"/>
                <w:szCs w:val="22"/>
              </w:rPr>
            </w:pPr>
            <w:r w:rsidRPr="00132336">
              <w:rPr>
                <w:rFonts w:ascii="Calibri" w:hAnsi="Calibri" w:cs="Calibri"/>
                <w:color w:val="000000"/>
                <w:sz w:val="22"/>
                <w:szCs w:val="22"/>
              </w:rPr>
              <w:t xml:space="preserve">Gemeente en Poort6 sluiten in 2019 een intentieovereenkomst om een warmtenet te realiseren en maken een plan van aanpak met prioriteit voor pilots in Gildewijk en Haarwijk, zodat eind 2019 duidelijk is wat de vervolgstappen zijn. Poort6 zal vanaf 2019 haar programma voor energetisch verbeteren in Gildewijk en Haarwijk intensiveren in afstemming op de aanpak van het leidingnetwerk en de alternatieve warmtevoorziening. Poort6 richt een voorbeeldwoning in met energetische verbeteringen om daarmee bewoners van Gildewijk en Haarwijk te informeren over mogelijkheden. </w:t>
            </w:r>
          </w:p>
        </w:tc>
      </w:tr>
    </w:tbl>
    <w:p w14:paraId="0E6CD442" w14:textId="77777777" w:rsidR="00132336" w:rsidRDefault="00132336" w:rsidP="002A6D01"/>
    <w:p w14:paraId="0017AB0B" w14:textId="59A0828D" w:rsidR="00132336" w:rsidRDefault="00132336" w:rsidP="00575560">
      <w:pPr>
        <w:spacing w:line="240" w:lineRule="auto"/>
        <w:rPr>
          <w:b/>
          <w:i/>
        </w:rPr>
      </w:pPr>
      <w:r>
        <w:rPr>
          <w:b/>
          <w:i/>
        </w:rPr>
        <w:t>Voorbeeld 2</w:t>
      </w:r>
    </w:p>
    <w:p w14:paraId="270967EA" w14:textId="77777777" w:rsidR="00132336" w:rsidRDefault="00132336" w:rsidP="00575560">
      <w:pPr>
        <w:spacing w:line="240" w:lineRule="auto"/>
      </w:pPr>
      <w:r>
        <w:t xml:space="preserve">Een bestaand initiatief van de corporatie Woonpalet met andere partijen krijgt een plek in de prestatieafspraken. De gemeente Zeewolde verbindt zich aan dit initiatief door garantstellingen. Daarmee wordt niet iets nieuws geregeld, maar iets bestaands beter mogelijk gemaakt. </w:t>
      </w:r>
    </w:p>
    <w:p w14:paraId="2EE44836" w14:textId="77777777" w:rsidR="00132336" w:rsidRDefault="00132336" w:rsidP="00575560">
      <w:pPr>
        <w:spacing w:line="240" w:lineRule="auto"/>
      </w:pPr>
    </w:p>
    <w:tbl>
      <w:tblPr>
        <w:tblStyle w:val="Tabelrasterlicht"/>
        <w:tblW w:w="0" w:type="auto"/>
        <w:tblLook w:val="04A0" w:firstRow="1" w:lastRow="0" w:firstColumn="1" w:lastColumn="0" w:noHBand="0" w:noVBand="1"/>
      </w:tblPr>
      <w:tblGrid>
        <w:gridCol w:w="13994"/>
      </w:tblGrid>
      <w:tr w:rsidR="00132336" w14:paraId="2060099E" w14:textId="77777777" w:rsidTr="00132336">
        <w:tc>
          <w:tcPr>
            <w:tcW w:w="13998" w:type="dxa"/>
          </w:tcPr>
          <w:p w14:paraId="06B31CAF" w14:textId="77777777" w:rsidR="00132336" w:rsidRDefault="00132336" w:rsidP="002A6D01">
            <w:r w:rsidRPr="00132336">
              <w:rPr>
                <w:rFonts w:ascii="Calibri" w:hAnsi="Calibri" w:cs="Calibri"/>
                <w:color w:val="000000"/>
                <w:sz w:val="22"/>
                <w:szCs w:val="22"/>
              </w:rPr>
              <w:t xml:space="preserve">Woonpalet heeft samen met lokale partijen de Vereniging </w:t>
            </w:r>
            <w:proofErr w:type="spellStart"/>
            <w:r w:rsidRPr="00132336">
              <w:rPr>
                <w:rFonts w:ascii="Calibri" w:hAnsi="Calibri" w:cs="Calibri"/>
                <w:color w:val="000000"/>
                <w:sz w:val="22"/>
                <w:szCs w:val="22"/>
              </w:rPr>
              <w:t>ZeewoldeZon</w:t>
            </w:r>
            <w:proofErr w:type="spellEnd"/>
            <w:r w:rsidRPr="00132336">
              <w:rPr>
                <w:rFonts w:ascii="Calibri" w:hAnsi="Calibri" w:cs="Calibri"/>
                <w:color w:val="000000"/>
                <w:sz w:val="22"/>
                <w:szCs w:val="22"/>
              </w:rPr>
              <w:t xml:space="preserve"> opgericht, gebruikmakend van de belastingmogelijkheden (sinds 1-1-2016) van ‘De Postcoderoos’ c.q. de ‘Regeling Verlaagd Tarief’. Hierdoor komt zonnestroom via zonnepanelen voor huurders beschikbaar, zonder dat zij hoeven te investeren. Woonpalet stelt daarvoor kosteloos haar daken beschikbaar. Ze heeft daarbij de samenwerking gezocht met huurders, een lokale energieleverancier en de gemeente, die deze ontwikkeling ondersteunt met een gemeentegarantie voor 200.000 euro. Inmiddels zijn er 144 leden, bijna allemaal huurders van Woonpalet. </w:t>
            </w:r>
            <w:proofErr w:type="spellStart"/>
            <w:r w:rsidRPr="00132336">
              <w:rPr>
                <w:rFonts w:ascii="Calibri" w:hAnsi="Calibri" w:cs="Calibri"/>
                <w:color w:val="000000"/>
                <w:sz w:val="22"/>
                <w:szCs w:val="22"/>
              </w:rPr>
              <w:t>ZeewoldeZon</w:t>
            </w:r>
            <w:proofErr w:type="spellEnd"/>
            <w:r w:rsidRPr="00132336">
              <w:rPr>
                <w:rFonts w:ascii="Calibri" w:hAnsi="Calibri" w:cs="Calibri"/>
                <w:color w:val="000000"/>
                <w:sz w:val="22"/>
                <w:szCs w:val="22"/>
              </w:rPr>
              <w:t xml:space="preserve"> is thans bezig met verdere uitbreiding.</w:t>
            </w:r>
          </w:p>
        </w:tc>
      </w:tr>
    </w:tbl>
    <w:p w14:paraId="1F5DB40A" w14:textId="77777777" w:rsidR="00132336" w:rsidRDefault="00132336" w:rsidP="002A6D01"/>
    <w:p w14:paraId="4921D17C" w14:textId="77777777" w:rsidR="0045763A" w:rsidRDefault="0045763A">
      <w:pPr>
        <w:jc w:val="left"/>
      </w:pPr>
      <w:r>
        <w:rPr>
          <w:b/>
        </w:rPr>
        <w:br w:type="page"/>
      </w:r>
    </w:p>
    <w:p w14:paraId="438FAF4C" w14:textId="41327E3D" w:rsidR="00132336" w:rsidRDefault="00132336" w:rsidP="00132336">
      <w:pPr>
        <w:pStyle w:val="Titel"/>
      </w:pPr>
      <w:r>
        <w:lastRenderedPageBreak/>
        <w:t>Enkele handige aanpakken</w:t>
      </w:r>
    </w:p>
    <w:p w14:paraId="7A44DB4F" w14:textId="77777777" w:rsidR="00F137C8" w:rsidRDefault="00F137C8" w:rsidP="00F137C8"/>
    <w:p w14:paraId="3E9E6AB3" w14:textId="77777777" w:rsidR="00F137C8" w:rsidRPr="00F137C8" w:rsidRDefault="00F137C8" w:rsidP="00575560">
      <w:pPr>
        <w:spacing w:line="240" w:lineRule="auto"/>
        <w:rPr>
          <w:b/>
          <w:i/>
        </w:rPr>
      </w:pPr>
      <w:r>
        <w:rPr>
          <w:b/>
          <w:i/>
        </w:rPr>
        <w:t>Voorbeeld 1</w:t>
      </w:r>
    </w:p>
    <w:p w14:paraId="5E701863" w14:textId="036D26B3" w:rsidR="00F137C8" w:rsidRDefault="0045763A" w:rsidP="00575560">
      <w:pPr>
        <w:spacing w:line="240" w:lineRule="auto"/>
      </w:pPr>
      <w:r>
        <w:t xml:space="preserve">We zien veel </w:t>
      </w:r>
      <w:r w:rsidR="00F137C8">
        <w:t>varianten van meerjarige raamovereenkomsten, met jaarlijkse prestatieoverzichten. In Emmen hebben de partijen dit stapsgewijs uitgewerkt voor een jaarcyclus met aandacht voor de rol van de gemeente, corporaties en huurdersorganisaties.</w:t>
      </w:r>
    </w:p>
    <w:p w14:paraId="0D64731F" w14:textId="77777777" w:rsidR="00F137C8" w:rsidRDefault="00F137C8" w:rsidP="00575560">
      <w:pPr>
        <w:spacing w:line="240" w:lineRule="auto"/>
      </w:pPr>
    </w:p>
    <w:tbl>
      <w:tblPr>
        <w:tblStyle w:val="Tabelrasterlicht"/>
        <w:tblW w:w="14029" w:type="dxa"/>
        <w:tblLook w:val="04A0" w:firstRow="1" w:lastRow="0" w:firstColumn="1" w:lastColumn="0" w:noHBand="0" w:noVBand="1"/>
      </w:tblPr>
      <w:tblGrid>
        <w:gridCol w:w="14029"/>
      </w:tblGrid>
      <w:tr w:rsidR="00F137C8" w:rsidRPr="00F137C8" w14:paraId="7E87991A" w14:textId="77777777" w:rsidTr="0045763A">
        <w:trPr>
          <w:trHeight w:val="1202"/>
        </w:trPr>
        <w:tc>
          <w:tcPr>
            <w:tcW w:w="14029" w:type="dxa"/>
            <w:hideMark/>
          </w:tcPr>
          <w:p w14:paraId="61A127FA" w14:textId="77777777" w:rsidR="00F137C8" w:rsidRPr="00F137C8" w:rsidRDefault="00F137C8" w:rsidP="0045763A">
            <w:pPr>
              <w:rPr>
                <w:rFonts w:ascii="Calibri" w:hAnsi="Calibri" w:cs="Calibri"/>
                <w:color w:val="000000"/>
                <w:sz w:val="22"/>
                <w:szCs w:val="22"/>
              </w:rPr>
            </w:pPr>
            <w:r w:rsidRPr="00F137C8">
              <w:rPr>
                <w:rFonts w:ascii="Calibri" w:hAnsi="Calibri" w:cs="Calibri"/>
                <w:color w:val="000000"/>
                <w:sz w:val="22"/>
                <w:szCs w:val="22"/>
              </w:rPr>
              <w:t>"RG = regiegroep.  Hierin zijn medewerkers van alle organisaties vertegenwoordigd. De regiegroep bewaakt het proces en de inhoud door de optelsom te maken van activiteiten en die te leggen naast de gestelde doelen. Ook bereidt de regiegroep keuzes en beslispunten voor het Bestuurlijk Overleg voor. De deelnemers aan de regiegroep functioneren als accounthouder voor hun organisatie. Dit betekent dat zij integraal overzicht hebben over de samenwerking tussen de verschillende partijen. Partijen nemen elk de verantwoordelijkheid om de accounthouders van de ‘contractpartner’ te informeren, zodat de accounthouders het gewenste overzicht bewaren.</w:t>
            </w:r>
          </w:p>
        </w:tc>
      </w:tr>
      <w:tr w:rsidR="00F137C8" w:rsidRPr="00F137C8" w14:paraId="0EAFF8AD" w14:textId="77777777" w:rsidTr="0045763A">
        <w:trPr>
          <w:trHeight w:val="416"/>
        </w:trPr>
        <w:tc>
          <w:tcPr>
            <w:tcW w:w="14029" w:type="dxa"/>
            <w:hideMark/>
          </w:tcPr>
          <w:p w14:paraId="3309813E" w14:textId="77777777" w:rsidR="00F137C8" w:rsidRPr="00F137C8" w:rsidRDefault="00F137C8" w:rsidP="0045763A">
            <w:pPr>
              <w:rPr>
                <w:rFonts w:ascii="Calibri" w:hAnsi="Calibri" w:cs="Calibri"/>
                <w:color w:val="000000"/>
                <w:sz w:val="22"/>
                <w:szCs w:val="22"/>
              </w:rPr>
            </w:pPr>
            <w:r w:rsidRPr="00F137C8">
              <w:rPr>
                <w:rFonts w:ascii="Calibri" w:hAnsi="Calibri" w:cs="Calibri"/>
                <w:color w:val="000000"/>
                <w:sz w:val="22"/>
                <w:szCs w:val="22"/>
              </w:rPr>
              <w:t>BO = bestuurlijk overleg (waarin bestuurders van alle organisaties zitting hebben). Zij beoordeelt voortgangsrapportages op basis van trimesterrapportages en neemt besluiten.</w:t>
            </w:r>
          </w:p>
        </w:tc>
      </w:tr>
      <w:tr w:rsidR="00F137C8" w:rsidRPr="00F137C8" w14:paraId="2C824C94" w14:textId="77777777" w:rsidTr="0045763A">
        <w:trPr>
          <w:trHeight w:val="449"/>
        </w:trPr>
        <w:tc>
          <w:tcPr>
            <w:tcW w:w="14029" w:type="dxa"/>
            <w:hideMark/>
          </w:tcPr>
          <w:p w14:paraId="0FE3AD76" w14:textId="548C1D50" w:rsidR="00F137C8" w:rsidRPr="00F137C8" w:rsidRDefault="0045763A" w:rsidP="0045763A">
            <w:pPr>
              <w:rPr>
                <w:rFonts w:ascii="Calibri" w:hAnsi="Calibri" w:cs="Calibri"/>
                <w:color w:val="000000"/>
                <w:sz w:val="22"/>
                <w:szCs w:val="22"/>
              </w:rPr>
            </w:pPr>
            <w:r>
              <w:rPr>
                <w:rFonts w:ascii="Calibri" w:hAnsi="Calibri" w:cs="Calibri"/>
                <w:color w:val="000000"/>
                <w:sz w:val="22"/>
                <w:szCs w:val="22"/>
              </w:rPr>
              <w:t xml:space="preserve">De partijen werken met een jaaragenda. In jaar 1 worden de prestatieafspraken voorbereid, in jaar 2 </w:t>
            </w:r>
            <w:r w:rsidRPr="00F137C8">
              <w:rPr>
                <w:rFonts w:ascii="Calibri" w:hAnsi="Calibri" w:cs="Calibri"/>
                <w:color w:val="000000"/>
                <w:sz w:val="22"/>
                <w:szCs w:val="22"/>
              </w:rPr>
              <w:t>worden de afspraken uitgevoerd en in jaar 3 is de evaluatie.</w:t>
            </w:r>
            <w:r>
              <w:rPr>
                <w:rFonts w:ascii="Calibri" w:hAnsi="Calibri" w:cs="Calibri"/>
                <w:color w:val="000000"/>
                <w:sz w:val="22"/>
                <w:szCs w:val="22"/>
              </w:rPr>
              <w:t xml:space="preserve"> </w:t>
            </w:r>
            <w:r w:rsidR="00F137C8" w:rsidRPr="00F137C8">
              <w:rPr>
                <w:rFonts w:ascii="Calibri" w:hAnsi="Calibri" w:cs="Calibri"/>
                <w:color w:val="000000"/>
                <w:sz w:val="22"/>
                <w:szCs w:val="22"/>
              </w:rPr>
              <w:t>De jaaragenda is een hulpmiddel om te komen tot een werkbare en zich ontwikkelende samenwerking. De jaaragenda ondersteunt de partijen en helpt hen te komen tot een zich continu ontwikkelende werkwijze. Per kwartaal worden een aantal accenten geplaatst (de jaaragenda is ook schematisch weergegeven in de prestatieafspraken 2019).</w:t>
            </w:r>
          </w:p>
        </w:tc>
      </w:tr>
      <w:tr w:rsidR="00F137C8" w:rsidRPr="00F137C8" w14:paraId="7FD03FD1" w14:textId="77777777" w:rsidTr="0045763A">
        <w:trPr>
          <w:trHeight w:val="694"/>
        </w:trPr>
        <w:tc>
          <w:tcPr>
            <w:tcW w:w="14029" w:type="dxa"/>
            <w:hideMark/>
          </w:tcPr>
          <w:p w14:paraId="1DC092E6" w14:textId="77777777" w:rsidR="00F137C8" w:rsidRPr="00F137C8" w:rsidRDefault="00F137C8" w:rsidP="0045763A">
            <w:pPr>
              <w:rPr>
                <w:rFonts w:ascii="Calibri" w:hAnsi="Calibri" w:cs="Calibri"/>
                <w:color w:val="000000"/>
                <w:sz w:val="22"/>
                <w:szCs w:val="22"/>
              </w:rPr>
            </w:pPr>
            <w:r w:rsidRPr="00F137C8">
              <w:rPr>
                <w:rFonts w:ascii="Calibri" w:hAnsi="Calibri" w:cs="Calibri"/>
                <w:b/>
                <w:bCs/>
                <w:color w:val="000000"/>
                <w:sz w:val="22"/>
                <w:szCs w:val="22"/>
              </w:rPr>
              <w:t>Eerste kwartaal</w:t>
            </w:r>
            <w:r w:rsidRPr="00F137C8">
              <w:rPr>
                <w:rFonts w:ascii="Calibri" w:hAnsi="Calibri" w:cs="Calibri"/>
                <w:color w:val="000000"/>
                <w:sz w:val="22"/>
                <w:szCs w:val="22"/>
              </w:rPr>
              <w:t>: Evaluatie van de prestatieafspraken in het voorgaande jaar. Partijen evalueren het resultaat van de uitvoering van afspraken. Zij doen dit op inhoud en op proces. De evaluatie kan leiden tot bijstelling van de doelen uit het Lokaal Akkoord (op basis van actualiteiten). Daarmee ontstaat ook de basis voor de verantwoording door de corporatie in hun volkshuisvestingsverslag, dat uiterlijk 1 juli moet zijn ingediend.</w:t>
            </w:r>
          </w:p>
        </w:tc>
      </w:tr>
      <w:tr w:rsidR="00F137C8" w:rsidRPr="00F137C8" w14:paraId="2808A890" w14:textId="77777777" w:rsidTr="0045763A">
        <w:trPr>
          <w:trHeight w:val="1702"/>
        </w:trPr>
        <w:tc>
          <w:tcPr>
            <w:tcW w:w="14029" w:type="dxa"/>
            <w:hideMark/>
          </w:tcPr>
          <w:p w14:paraId="732D32F4" w14:textId="77777777" w:rsidR="00F137C8" w:rsidRPr="00F137C8" w:rsidRDefault="00F137C8" w:rsidP="0045763A">
            <w:pPr>
              <w:rPr>
                <w:rFonts w:ascii="Calibri" w:hAnsi="Calibri" w:cs="Calibri"/>
                <w:color w:val="000000"/>
                <w:sz w:val="22"/>
                <w:szCs w:val="22"/>
              </w:rPr>
            </w:pPr>
            <w:r w:rsidRPr="00F137C8">
              <w:rPr>
                <w:rFonts w:ascii="Calibri" w:hAnsi="Calibri" w:cs="Calibri"/>
                <w:b/>
                <w:bCs/>
                <w:color w:val="000000"/>
                <w:sz w:val="22"/>
                <w:szCs w:val="22"/>
              </w:rPr>
              <w:t>Tweede kwartaal:</w:t>
            </w:r>
            <w:r w:rsidRPr="00F137C8">
              <w:rPr>
                <w:rFonts w:ascii="Calibri" w:hAnsi="Calibri" w:cs="Calibri"/>
                <w:color w:val="000000"/>
                <w:sz w:val="22"/>
                <w:szCs w:val="22"/>
              </w:rPr>
              <w:t xml:space="preserve"> Voorbereiding van de eigen activiteitenoverzichten door gemeente, corporaties en huurdersorganisatie; dus door alle partijen. Bij het opstellen van de activiteitenoverzichten nemen partijen elkaar mee in de afwegingen die zij maken. Doel is te komen tot een fine-</w:t>
            </w:r>
            <w:proofErr w:type="spellStart"/>
            <w:r w:rsidRPr="00F137C8">
              <w:rPr>
                <w:rFonts w:ascii="Calibri" w:hAnsi="Calibri" w:cs="Calibri"/>
                <w:color w:val="000000"/>
                <w:sz w:val="22"/>
                <w:szCs w:val="22"/>
              </w:rPr>
              <w:t>tuning</w:t>
            </w:r>
            <w:proofErr w:type="spellEnd"/>
            <w:r w:rsidRPr="00F137C8">
              <w:rPr>
                <w:rFonts w:ascii="Calibri" w:hAnsi="Calibri" w:cs="Calibri"/>
                <w:color w:val="000000"/>
                <w:sz w:val="22"/>
                <w:szCs w:val="22"/>
              </w:rPr>
              <w:t xml:space="preserve"> van het overzicht zodat het aansluit bij de doelen &amp; de onderlinge verwachtingen én het een bruikbare bouwsteen is voor de begrotingen van de betrokken partijen. De activiteitenoverzichten zijn concreet voor de eerste twee jaar, dat wil zeggen projectniveau met concrete aantallen en bedragen. De overzichten zijn indicatief voor het derde jaar, dat wil zeggen op wijkniveau, met richtinggevende aantallen en bedragen. Voor het vierde en vijfde jaar geven de activiteitenoverzichten een indicatie op gemeentelijk niveau (aantallen en bedragen). Door op deze wijze te bouwen aan het activiteitenoverzicht ontstaat een gedragen resultaat dat snel verwerkt kan worden in prestatieafspraken.</w:t>
            </w:r>
          </w:p>
        </w:tc>
      </w:tr>
      <w:tr w:rsidR="00F137C8" w:rsidRPr="00F137C8" w14:paraId="3AAEAB04" w14:textId="77777777" w:rsidTr="0045763A">
        <w:trPr>
          <w:trHeight w:val="537"/>
        </w:trPr>
        <w:tc>
          <w:tcPr>
            <w:tcW w:w="14029" w:type="dxa"/>
            <w:hideMark/>
          </w:tcPr>
          <w:p w14:paraId="6F3761C5" w14:textId="77777777" w:rsidR="00F137C8" w:rsidRPr="00F137C8" w:rsidRDefault="00F137C8" w:rsidP="0045763A">
            <w:pPr>
              <w:rPr>
                <w:rFonts w:ascii="Calibri" w:hAnsi="Calibri" w:cs="Calibri"/>
                <w:color w:val="000000"/>
                <w:sz w:val="22"/>
                <w:szCs w:val="22"/>
              </w:rPr>
            </w:pPr>
            <w:r w:rsidRPr="00F137C8">
              <w:rPr>
                <w:rFonts w:ascii="Calibri" w:hAnsi="Calibri" w:cs="Calibri"/>
                <w:b/>
                <w:bCs/>
                <w:color w:val="000000"/>
                <w:sz w:val="22"/>
                <w:szCs w:val="22"/>
              </w:rPr>
              <w:t>Derde kwartaal</w:t>
            </w:r>
            <w:r w:rsidRPr="00F137C8">
              <w:rPr>
                <w:rFonts w:ascii="Calibri" w:hAnsi="Calibri" w:cs="Calibri"/>
                <w:color w:val="000000"/>
                <w:sz w:val="22"/>
                <w:szCs w:val="22"/>
              </w:rPr>
              <w:t>: Medio november (uiterlijk 15 november) worden de prestatieafspraken voor het volgende kalenderjaar afgerond. De prestatieafspraken geven een doorkijk voor een periode van 3 jaar. De besluitvorming en ondertekening van de prestatieafspraken vindt tijdig, dat wil zeggen voor 15 december plaats.</w:t>
            </w:r>
          </w:p>
        </w:tc>
      </w:tr>
    </w:tbl>
    <w:p w14:paraId="59E39A62" w14:textId="77777777" w:rsidR="00F137C8" w:rsidRDefault="00F137C8" w:rsidP="00F137C8"/>
    <w:p w14:paraId="1A310969" w14:textId="77777777" w:rsidR="0045763A" w:rsidRDefault="0045763A" w:rsidP="00F137C8">
      <w:pPr>
        <w:rPr>
          <w:b/>
          <w:i/>
        </w:rPr>
      </w:pPr>
    </w:p>
    <w:p w14:paraId="0BA68AF4" w14:textId="1E4D6539" w:rsidR="00F137C8" w:rsidRPr="00F137C8" w:rsidRDefault="00F137C8" w:rsidP="00F137C8">
      <w:pPr>
        <w:rPr>
          <w:b/>
          <w:i/>
        </w:rPr>
      </w:pPr>
      <w:r>
        <w:rPr>
          <w:b/>
          <w:i/>
        </w:rPr>
        <w:lastRenderedPageBreak/>
        <w:t>Voorbeeld 2</w:t>
      </w:r>
    </w:p>
    <w:p w14:paraId="0F2D74F5" w14:textId="77777777" w:rsidR="00F137C8" w:rsidRDefault="00F137C8" w:rsidP="00575560">
      <w:pPr>
        <w:spacing w:line="240" w:lineRule="auto"/>
      </w:pPr>
      <w:r>
        <w:t>In de Hoeksche Waard hebben de partijen een aantal uitgangspunten van samenwerking in de prestatieafspraken vastgelegd, die misschien wel universeel zijn, maar zeker niet in alle samenwerkingsverbanden ook zo worden nageleefd. Niet verkeerd om dergelijke principes vast te leggen.</w:t>
      </w:r>
    </w:p>
    <w:p w14:paraId="5DEC84F6" w14:textId="77777777" w:rsidR="00F137C8" w:rsidRDefault="00F137C8" w:rsidP="00F137C8">
      <w:bookmarkStart w:id="1" w:name="_Hlk17874419"/>
    </w:p>
    <w:tbl>
      <w:tblPr>
        <w:tblStyle w:val="Tabelrasterlicht"/>
        <w:tblW w:w="14029" w:type="dxa"/>
        <w:tblLook w:val="04A0" w:firstRow="1" w:lastRow="0" w:firstColumn="1" w:lastColumn="0" w:noHBand="0" w:noVBand="1"/>
      </w:tblPr>
      <w:tblGrid>
        <w:gridCol w:w="14029"/>
      </w:tblGrid>
      <w:tr w:rsidR="00F137C8" w:rsidRPr="00F137C8" w14:paraId="3997B256" w14:textId="77777777" w:rsidTr="0045763A">
        <w:trPr>
          <w:trHeight w:val="550"/>
        </w:trPr>
        <w:tc>
          <w:tcPr>
            <w:tcW w:w="14029" w:type="dxa"/>
            <w:hideMark/>
          </w:tcPr>
          <w:p w14:paraId="55B5C6C7" w14:textId="77777777" w:rsidR="00F137C8" w:rsidRPr="00F137C8" w:rsidRDefault="00F137C8" w:rsidP="0045763A">
            <w:pPr>
              <w:rPr>
                <w:rFonts w:ascii="Calibri" w:hAnsi="Calibri" w:cs="Calibri"/>
                <w:color w:val="000000"/>
                <w:sz w:val="22"/>
                <w:szCs w:val="22"/>
              </w:rPr>
            </w:pPr>
            <w:r w:rsidRPr="00F137C8">
              <w:rPr>
                <w:rFonts w:ascii="Calibri" w:hAnsi="Calibri" w:cs="Calibri"/>
                <w:color w:val="000000"/>
                <w:sz w:val="22"/>
                <w:szCs w:val="22"/>
              </w:rPr>
              <w:t>HW Wonen, Huurdersplatform Hoeksche Waard en de gemeente Hoeksche Waard werken samen om de huurders van de Hoeksche Waard op de beste manier van dienst te kunnen zijn. Uitgangspunten bij deze samenwerking zijn wederzijdse inspanning, vertrouwen, openheid en transparantie. Partijen kunnen elkaar aanspreken op de naleving van de afspraken.</w:t>
            </w:r>
          </w:p>
        </w:tc>
      </w:tr>
      <w:tr w:rsidR="00F137C8" w:rsidRPr="00F137C8" w14:paraId="46DD4641" w14:textId="77777777" w:rsidTr="0045763A">
        <w:trPr>
          <w:trHeight w:val="749"/>
        </w:trPr>
        <w:tc>
          <w:tcPr>
            <w:tcW w:w="14029" w:type="dxa"/>
            <w:hideMark/>
          </w:tcPr>
          <w:p w14:paraId="0BA15241" w14:textId="77777777" w:rsidR="00F137C8" w:rsidRPr="00F137C8" w:rsidRDefault="00F137C8" w:rsidP="0045763A">
            <w:pPr>
              <w:rPr>
                <w:rFonts w:ascii="Calibri" w:hAnsi="Calibri" w:cs="Calibri"/>
                <w:color w:val="000000"/>
                <w:sz w:val="22"/>
                <w:szCs w:val="22"/>
              </w:rPr>
            </w:pPr>
            <w:r w:rsidRPr="00F137C8">
              <w:rPr>
                <w:rFonts w:ascii="Calibri" w:hAnsi="Calibri" w:cs="Calibri"/>
                <w:color w:val="000000"/>
                <w:sz w:val="22"/>
                <w:szCs w:val="22"/>
              </w:rPr>
              <w:t>Uitvoering van de afspraken zoals vastgelegd in deze prestatieafspraken wordt in gezamenlijkheid georganiseerd en gemonitord. Gemeente en HW Wonen bewaken de voortgang van de uitvoering van de prestatieafspraken en zijn verantwoordelijk voor de uitvoering van besluiten van het bestuurlijk</w:t>
            </w:r>
            <w:r>
              <w:rPr>
                <w:rFonts w:ascii="Calibri" w:hAnsi="Calibri" w:cs="Calibri"/>
                <w:color w:val="000000"/>
                <w:sz w:val="22"/>
                <w:szCs w:val="22"/>
              </w:rPr>
              <w:t xml:space="preserve"> </w:t>
            </w:r>
            <w:r w:rsidRPr="00F137C8">
              <w:rPr>
                <w:rFonts w:ascii="Calibri" w:hAnsi="Calibri" w:cs="Calibri"/>
                <w:color w:val="000000"/>
                <w:sz w:val="22"/>
                <w:szCs w:val="22"/>
              </w:rPr>
              <w:t>overleg binnen de eigen organisatie.</w:t>
            </w:r>
          </w:p>
        </w:tc>
      </w:tr>
      <w:tr w:rsidR="00F137C8" w:rsidRPr="00F137C8" w14:paraId="064C8EA5" w14:textId="77777777" w:rsidTr="0045763A">
        <w:trPr>
          <w:trHeight w:val="364"/>
        </w:trPr>
        <w:tc>
          <w:tcPr>
            <w:tcW w:w="14029" w:type="dxa"/>
            <w:hideMark/>
          </w:tcPr>
          <w:p w14:paraId="31DCFFC2" w14:textId="77777777" w:rsidR="00F137C8" w:rsidRPr="00F137C8" w:rsidRDefault="00F137C8" w:rsidP="0045763A">
            <w:pPr>
              <w:rPr>
                <w:rFonts w:ascii="Calibri" w:hAnsi="Calibri" w:cs="Calibri"/>
                <w:color w:val="000000"/>
                <w:sz w:val="22"/>
                <w:szCs w:val="22"/>
              </w:rPr>
            </w:pPr>
            <w:r w:rsidRPr="00F137C8">
              <w:rPr>
                <w:rFonts w:ascii="Calibri" w:hAnsi="Calibri" w:cs="Calibri"/>
                <w:color w:val="000000"/>
                <w:sz w:val="22"/>
                <w:szCs w:val="22"/>
              </w:rPr>
              <w:t>Bij afronding en afspraken van pilots, campagnes en convenanten zorgt de trekkende organisatie bij de afronding van de actie voor een evaluatie van het proces, de resultaten en de leerpunten. Voor 2019 geldt dit onder andere voor de Campagne Lang Leve Thuis en het Convenant Woonoverlast.</w:t>
            </w:r>
          </w:p>
        </w:tc>
      </w:tr>
      <w:tr w:rsidR="00F137C8" w:rsidRPr="00F137C8" w14:paraId="6FB52774" w14:textId="77777777" w:rsidTr="0045763A">
        <w:trPr>
          <w:trHeight w:val="372"/>
        </w:trPr>
        <w:tc>
          <w:tcPr>
            <w:tcW w:w="14029" w:type="dxa"/>
          </w:tcPr>
          <w:p w14:paraId="42090943" w14:textId="77777777" w:rsidR="00F137C8" w:rsidRPr="00F137C8" w:rsidRDefault="00F137C8" w:rsidP="0045763A">
            <w:pPr>
              <w:rPr>
                <w:rFonts w:ascii="Calibri" w:hAnsi="Calibri" w:cs="Calibri"/>
                <w:color w:val="000000"/>
                <w:sz w:val="22"/>
                <w:szCs w:val="22"/>
              </w:rPr>
            </w:pPr>
            <w:r>
              <w:rPr>
                <w:rFonts w:ascii="Calibri" w:hAnsi="Calibri" w:cs="Calibri"/>
                <w:color w:val="000000"/>
                <w:sz w:val="22"/>
                <w:szCs w:val="22"/>
              </w:rPr>
              <w:t>HW Wonen en de gemeente voeren onderzoek dat betrekking heeft op volkshuisvestelijke vraagstukken zoveel mogelijk gezamenlijk uit. Dat betekent dat zij elkaar voorafgaand aan opdrachtverstrekking de gelegenheid geven om gezamenlijk de opdracht te formuleren en te verstrekken, en de kosten te delen.</w:t>
            </w:r>
          </w:p>
        </w:tc>
      </w:tr>
    </w:tbl>
    <w:p w14:paraId="13B77E5C" w14:textId="77777777" w:rsidR="00F137C8" w:rsidRDefault="00F137C8" w:rsidP="00575560">
      <w:pPr>
        <w:spacing w:line="240" w:lineRule="auto"/>
      </w:pPr>
    </w:p>
    <w:bookmarkEnd w:id="1"/>
    <w:p w14:paraId="01775496" w14:textId="77777777" w:rsidR="00F137C8" w:rsidRPr="00F137C8" w:rsidRDefault="00F137C8" w:rsidP="00575560">
      <w:pPr>
        <w:spacing w:line="240" w:lineRule="auto"/>
        <w:rPr>
          <w:b/>
          <w:i/>
        </w:rPr>
      </w:pPr>
      <w:r>
        <w:rPr>
          <w:b/>
          <w:i/>
        </w:rPr>
        <w:t>Voorbeeld 3</w:t>
      </w:r>
    </w:p>
    <w:p w14:paraId="59F4A4B4" w14:textId="5A1F579D" w:rsidR="00F137C8" w:rsidRDefault="00F137C8" w:rsidP="00575560">
      <w:pPr>
        <w:spacing w:line="240" w:lineRule="auto"/>
      </w:pPr>
      <w:r>
        <w:t>Ook in Hoorn hebben de gemeente, huurdersorganisatie en corporaties een dergelijk uitgangspunt vastgelegd</w:t>
      </w:r>
      <w:r w:rsidR="0045763A">
        <w:t>.</w:t>
      </w:r>
    </w:p>
    <w:p w14:paraId="195F7FA9" w14:textId="77777777" w:rsidR="00F137C8" w:rsidRDefault="00F137C8" w:rsidP="00575560">
      <w:pPr>
        <w:spacing w:line="240" w:lineRule="auto"/>
      </w:pPr>
    </w:p>
    <w:tbl>
      <w:tblPr>
        <w:tblStyle w:val="Tabelrasterlicht"/>
        <w:tblW w:w="0" w:type="auto"/>
        <w:tblLook w:val="04A0" w:firstRow="1" w:lastRow="0" w:firstColumn="1" w:lastColumn="0" w:noHBand="0" w:noVBand="1"/>
      </w:tblPr>
      <w:tblGrid>
        <w:gridCol w:w="13994"/>
      </w:tblGrid>
      <w:tr w:rsidR="00F137C8" w14:paraId="4C5ACDC4" w14:textId="77777777" w:rsidTr="00F137C8">
        <w:tc>
          <w:tcPr>
            <w:tcW w:w="13998" w:type="dxa"/>
          </w:tcPr>
          <w:p w14:paraId="7FB13568" w14:textId="77777777" w:rsidR="00F137C8" w:rsidRPr="00F137C8" w:rsidRDefault="00F137C8" w:rsidP="00F137C8">
            <w:pPr>
              <w:rPr>
                <w:rFonts w:ascii="Calibri" w:hAnsi="Calibri" w:cs="Calibri"/>
                <w:color w:val="000000"/>
                <w:sz w:val="22"/>
                <w:szCs w:val="22"/>
              </w:rPr>
            </w:pPr>
            <w:r w:rsidRPr="00F137C8">
              <w:rPr>
                <w:rFonts w:ascii="Calibri" w:hAnsi="Calibri" w:cs="Calibri"/>
                <w:color w:val="000000"/>
                <w:sz w:val="22"/>
                <w:szCs w:val="22"/>
              </w:rPr>
              <w:t>De gemeente Hoorn, de corporaties en VH de Boog willen met elkaar samenwerken en bewoners van Hoorn op de beste manier van dienst kunnen zijn. Uitgangspunten bij dit partnerschap zijn wederzijdse inspanning, vertrouwen, openheid en transparantie. Daarbij spreken partijen elkaar aan als de uitvoering van afspraken niet naar tevredenheid van een van de partijen verloopt (kaderafspraken).</w:t>
            </w:r>
          </w:p>
        </w:tc>
      </w:tr>
    </w:tbl>
    <w:p w14:paraId="5294C320" w14:textId="6E8F0D18" w:rsidR="00F137C8" w:rsidRDefault="00F137C8" w:rsidP="00F137C8"/>
    <w:p w14:paraId="00F6378D" w14:textId="3194FB56" w:rsidR="00757041" w:rsidRDefault="00757041" w:rsidP="00F137C8">
      <w:pPr>
        <w:rPr>
          <w:b/>
          <w:i/>
        </w:rPr>
      </w:pPr>
      <w:r>
        <w:rPr>
          <w:b/>
          <w:i/>
        </w:rPr>
        <w:t>Voorbeeld 4</w:t>
      </w:r>
    </w:p>
    <w:p w14:paraId="6B2115D6" w14:textId="19D021D1" w:rsidR="00757041" w:rsidRDefault="00757041" w:rsidP="00757041">
      <w:pPr>
        <w:pStyle w:val="Default"/>
        <w:jc w:val="both"/>
        <w:rPr>
          <w:sz w:val="20"/>
          <w:szCs w:val="20"/>
        </w:rPr>
      </w:pPr>
      <w:r>
        <w:rPr>
          <w:sz w:val="20"/>
          <w:szCs w:val="20"/>
        </w:rPr>
        <w:t>In Alphen aan den Rijn is gekozen voor een ambitiedocument voor een periode van 5 jaar (deel 1). Daarin wordt ook steeds de gedeelde visie van partijen verwoord. De concrete jaarafspraken vormen deel 2 en zijn onlosmakelijk verbonden met het ambitiedocument. Kracht zit met name in verbinding lange en korte termijn en het verwoorden van de gezamenlijke visie. Door jaarlijks terug te kijken, voortgang en realisme van gemaakte afspraken te toetsen en de resultaten hiervan te verwerken in de nieuwe jaarafspraken, is sprake van een dynamisch proces binnen een vastere koers voor de langere termijn.</w:t>
      </w:r>
    </w:p>
    <w:p w14:paraId="6F4F9040" w14:textId="77777777" w:rsidR="00757041" w:rsidRDefault="00757041" w:rsidP="00757041"/>
    <w:tbl>
      <w:tblPr>
        <w:tblStyle w:val="Tabelrasterlicht"/>
        <w:tblW w:w="14029" w:type="dxa"/>
        <w:tblLook w:val="04A0" w:firstRow="1" w:lastRow="0" w:firstColumn="1" w:lastColumn="0" w:noHBand="0" w:noVBand="1"/>
      </w:tblPr>
      <w:tblGrid>
        <w:gridCol w:w="14029"/>
      </w:tblGrid>
      <w:tr w:rsidR="00757041" w:rsidRPr="00F137C8" w14:paraId="0A05AA51" w14:textId="77777777" w:rsidTr="00757041">
        <w:trPr>
          <w:trHeight w:val="1633"/>
        </w:trPr>
        <w:tc>
          <w:tcPr>
            <w:tcW w:w="14029" w:type="dxa"/>
            <w:hideMark/>
          </w:tcPr>
          <w:p w14:paraId="5A5DDB76" w14:textId="77777777" w:rsidR="00757041" w:rsidRPr="003A5B46" w:rsidRDefault="00757041" w:rsidP="00BE7CFA">
            <w:pPr>
              <w:pStyle w:val="Default"/>
              <w:jc w:val="both"/>
              <w:rPr>
                <w:sz w:val="22"/>
                <w:szCs w:val="22"/>
              </w:rPr>
            </w:pPr>
            <w:r w:rsidRPr="003A5B46">
              <w:rPr>
                <w:sz w:val="22"/>
                <w:szCs w:val="22"/>
              </w:rPr>
              <w:t xml:space="preserve">De prestatieafspraken van de gemeente Alphen aan den Rijn bestaan uit 2 delen: </w:t>
            </w:r>
          </w:p>
          <w:p w14:paraId="5DB93394" w14:textId="77777777" w:rsidR="00757041" w:rsidRPr="003A5B46" w:rsidRDefault="00757041" w:rsidP="00757041">
            <w:pPr>
              <w:pStyle w:val="Default"/>
              <w:numPr>
                <w:ilvl w:val="0"/>
                <w:numId w:val="47"/>
              </w:numPr>
              <w:jc w:val="both"/>
              <w:rPr>
                <w:sz w:val="22"/>
                <w:szCs w:val="22"/>
              </w:rPr>
            </w:pPr>
            <w:r w:rsidRPr="003A5B46">
              <w:rPr>
                <w:sz w:val="22"/>
                <w:szCs w:val="22"/>
              </w:rPr>
              <w:t xml:space="preserve">Deel 1 Ambitiedocument: meerjarige ambities en koers voor de periode 2017-2022 </w:t>
            </w:r>
          </w:p>
          <w:p w14:paraId="7C3D4A8E" w14:textId="77777777" w:rsidR="00757041" w:rsidRPr="003A5B46" w:rsidRDefault="00757041" w:rsidP="00757041">
            <w:pPr>
              <w:pStyle w:val="Default"/>
              <w:numPr>
                <w:ilvl w:val="0"/>
                <w:numId w:val="47"/>
              </w:numPr>
              <w:ind w:left="357" w:hanging="357"/>
              <w:jc w:val="both"/>
              <w:rPr>
                <w:sz w:val="20"/>
                <w:szCs w:val="20"/>
              </w:rPr>
            </w:pPr>
            <w:r w:rsidRPr="003A5B46">
              <w:rPr>
                <w:sz w:val="22"/>
                <w:szCs w:val="22"/>
              </w:rPr>
              <w:t xml:space="preserve">Deel 2 Jaarafspraken: concrete afspraken voor het eerstvolgende jaar. </w:t>
            </w:r>
          </w:p>
          <w:p w14:paraId="24FC9C52" w14:textId="56621183" w:rsidR="00757041" w:rsidRPr="003A5B46" w:rsidRDefault="00757041" w:rsidP="00BE7CFA">
            <w:pPr>
              <w:pStyle w:val="Default"/>
              <w:jc w:val="both"/>
              <w:rPr>
                <w:sz w:val="20"/>
                <w:szCs w:val="20"/>
              </w:rPr>
            </w:pPr>
            <w:r w:rsidRPr="003A5B46">
              <w:rPr>
                <w:sz w:val="22"/>
                <w:szCs w:val="22"/>
              </w:rPr>
              <w:t xml:space="preserve">Deze jaarafspraken zijn onlosmakelijk verbonden met het ambitiedocument. Jaarlijks wordt er een nieuw deel 2 aan de afspraken toegevoegd (de nieuwe jaarafspraken). In de voorliggende jaarafspraken worden bij ieder inhoudelijk thema de gedeelde visie en de doelstellingen voor de langere termijn uit deel 1 herhaald, zodat de samenhang tussen de jaarafspraken en de visie en doelstellingen helder is. </w:t>
            </w:r>
          </w:p>
        </w:tc>
      </w:tr>
    </w:tbl>
    <w:p w14:paraId="55BF0CC4" w14:textId="77777777" w:rsidR="00757041" w:rsidRDefault="00757041" w:rsidP="00757041">
      <w:pPr>
        <w:pStyle w:val="Default"/>
        <w:jc w:val="both"/>
        <w:rPr>
          <w:sz w:val="20"/>
          <w:szCs w:val="20"/>
        </w:rPr>
      </w:pPr>
    </w:p>
    <w:p w14:paraId="1D59A262" w14:textId="77777777" w:rsidR="00757041" w:rsidRDefault="00757041" w:rsidP="00757041">
      <w:pPr>
        <w:pStyle w:val="Default"/>
        <w:jc w:val="both"/>
        <w:rPr>
          <w:sz w:val="20"/>
          <w:szCs w:val="20"/>
        </w:rPr>
      </w:pPr>
      <w:r>
        <w:rPr>
          <w:sz w:val="20"/>
          <w:szCs w:val="20"/>
        </w:rPr>
        <w:t xml:space="preserve">In schema ziet de cyclus van prestatieafspraken en de 2 delen er als volgt uit. </w:t>
      </w:r>
    </w:p>
    <w:p w14:paraId="12B741A7" w14:textId="77777777" w:rsidR="00757041" w:rsidRDefault="00757041" w:rsidP="00757041">
      <w:pPr>
        <w:pStyle w:val="Default"/>
        <w:jc w:val="both"/>
        <w:rPr>
          <w:sz w:val="20"/>
          <w:szCs w:val="20"/>
        </w:rPr>
      </w:pPr>
      <w:r w:rsidRPr="003A5B46">
        <w:rPr>
          <w:noProof/>
          <w:sz w:val="20"/>
          <w:szCs w:val="20"/>
        </w:rPr>
        <w:drawing>
          <wp:inline distT="0" distB="0" distL="0" distR="0" wp14:anchorId="1B5E520D" wp14:editId="0C7E80E9">
            <wp:extent cx="5273040" cy="3366365"/>
            <wp:effectExtent l="0" t="0" r="381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4287" cy="3373545"/>
                    </a:xfrm>
                    <a:prstGeom prst="rect">
                      <a:avLst/>
                    </a:prstGeom>
                    <a:noFill/>
                    <a:ln>
                      <a:noFill/>
                    </a:ln>
                  </pic:spPr>
                </pic:pic>
              </a:graphicData>
            </a:graphic>
          </wp:inline>
        </w:drawing>
      </w:r>
    </w:p>
    <w:p w14:paraId="3B7AEA35" w14:textId="7577D688" w:rsidR="00757041" w:rsidRDefault="00757041" w:rsidP="00F137C8">
      <w:pPr>
        <w:rPr>
          <w:b/>
          <w:i/>
        </w:rPr>
      </w:pPr>
    </w:p>
    <w:p w14:paraId="38876270" w14:textId="77777777" w:rsidR="00757041" w:rsidRPr="00757041" w:rsidRDefault="00757041" w:rsidP="00F137C8">
      <w:pPr>
        <w:rPr>
          <w:b/>
          <w:i/>
        </w:rPr>
      </w:pPr>
    </w:p>
    <w:p w14:paraId="5BEAE870" w14:textId="18297330" w:rsidR="00155A49" w:rsidRPr="00155A49" w:rsidRDefault="00155A49" w:rsidP="00077D14">
      <w:pPr>
        <w:tabs>
          <w:tab w:val="left" w:pos="2954"/>
        </w:tabs>
        <w:spacing w:line="240" w:lineRule="auto"/>
        <w:jc w:val="left"/>
      </w:pPr>
    </w:p>
    <w:sectPr w:rsidR="00155A49" w:rsidRPr="00155A49" w:rsidSect="002A6D01">
      <w:footerReference w:type="default" r:id="rId10"/>
      <w:pgSz w:w="16838" w:h="11906" w:orient="landscape" w:code="9"/>
      <w:pgMar w:top="1417" w:right="1417" w:bottom="1417" w:left="1417" w:header="709" w:footer="95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81969" w14:textId="77777777" w:rsidR="00187E38" w:rsidRDefault="00187E38" w:rsidP="006E3FD0">
      <w:r>
        <w:separator/>
      </w:r>
    </w:p>
  </w:endnote>
  <w:endnote w:type="continuationSeparator" w:id="0">
    <w:p w14:paraId="64CAF7EC" w14:textId="77777777" w:rsidR="00187E38" w:rsidRDefault="00187E38" w:rsidP="006E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9EF38" w14:textId="77777777" w:rsidR="00DB7CC2" w:rsidRPr="008121D3" w:rsidRDefault="00DB7CC2" w:rsidP="00A52ABC">
    <w:pPr>
      <w:tabs>
        <w:tab w:val="right" w:pos="8505"/>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A28A6" w14:textId="77777777" w:rsidR="00187E38" w:rsidRDefault="00187E38" w:rsidP="006E3FD0">
      <w:r>
        <w:separator/>
      </w:r>
    </w:p>
  </w:footnote>
  <w:footnote w:type="continuationSeparator" w:id="0">
    <w:p w14:paraId="11C8191D" w14:textId="77777777" w:rsidR="00187E38" w:rsidRDefault="00187E38" w:rsidP="006E3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9CD"/>
    <w:multiLevelType w:val="hybridMultilevel"/>
    <w:tmpl w:val="525615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133454"/>
    <w:multiLevelType w:val="hybridMultilevel"/>
    <w:tmpl w:val="50D453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C3078"/>
    <w:multiLevelType w:val="hybridMultilevel"/>
    <w:tmpl w:val="5FAA65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610690"/>
    <w:multiLevelType w:val="hybridMultilevel"/>
    <w:tmpl w:val="41389508"/>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15:restartNumberingAfterBreak="0">
    <w:nsid w:val="08D20474"/>
    <w:multiLevelType w:val="hybridMultilevel"/>
    <w:tmpl w:val="6D62CF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7B596F"/>
    <w:multiLevelType w:val="hybridMultilevel"/>
    <w:tmpl w:val="A6A45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B4801D6"/>
    <w:multiLevelType w:val="hybridMultilevel"/>
    <w:tmpl w:val="23027E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4B5691"/>
    <w:multiLevelType w:val="hybridMultilevel"/>
    <w:tmpl w:val="7E9E0904"/>
    <w:lvl w:ilvl="0" w:tplc="5A525A24">
      <w:start w:val="1"/>
      <w:numFmt w:val="bullet"/>
      <w:lvlText w:val="•"/>
      <w:lvlJc w:val="left"/>
      <w:pPr>
        <w:tabs>
          <w:tab w:val="num" w:pos="720"/>
        </w:tabs>
        <w:ind w:left="720" w:hanging="360"/>
      </w:pPr>
      <w:rPr>
        <w:rFonts w:ascii="Arial" w:hAnsi="Arial" w:hint="default"/>
      </w:rPr>
    </w:lvl>
    <w:lvl w:ilvl="1" w:tplc="826E52A2" w:tentative="1">
      <w:start w:val="1"/>
      <w:numFmt w:val="bullet"/>
      <w:lvlText w:val="•"/>
      <w:lvlJc w:val="left"/>
      <w:pPr>
        <w:tabs>
          <w:tab w:val="num" w:pos="1440"/>
        </w:tabs>
        <w:ind w:left="1440" w:hanging="360"/>
      </w:pPr>
      <w:rPr>
        <w:rFonts w:ascii="Arial" w:hAnsi="Arial" w:hint="default"/>
      </w:rPr>
    </w:lvl>
    <w:lvl w:ilvl="2" w:tplc="840C2804" w:tentative="1">
      <w:start w:val="1"/>
      <w:numFmt w:val="bullet"/>
      <w:lvlText w:val="•"/>
      <w:lvlJc w:val="left"/>
      <w:pPr>
        <w:tabs>
          <w:tab w:val="num" w:pos="2160"/>
        </w:tabs>
        <w:ind w:left="2160" w:hanging="360"/>
      </w:pPr>
      <w:rPr>
        <w:rFonts w:ascii="Arial" w:hAnsi="Arial" w:hint="default"/>
      </w:rPr>
    </w:lvl>
    <w:lvl w:ilvl="3" w:tplc="97F88232" w:tentative="1">
      <w:start w:val="1"/>
      <w:numFmt w:val="bullet"/>
      <w:lvlText w:val="•"/>
      <w:lvlJc w:val="left"/>
      <w:pPr>
        <w:tabs>
          <w:tab w:val="num" w:pos="2880"/>
        </w:tabs>
        <w:ind w:left="2880" w:hanging="360"/>
      </w:pPr>
      <w:rPr>
        <w:rFonts w:ascii="Arial" w:hAnsi="Arial" w:hint="default"/>
      </w:rPr>
    </w:lvl>
    <w:lvl w:ilvl="4" w:tplc="192CFA44" w:tentative="1">
      <w:start w:val="1"/>
      <w:numFmt w:val="bullet"/>
      <w:lvlText w:val="•"/>
      <w:lvlJc w:val="left"/>
      <w:pPr>
        <w:tabs>
          <w:tab w:val="num" w:pos="3600"/>
        </w:tabs>
        <w:ind w:left="3600" w:hanging="360"/>
      </w:pPr>
      <w:rPr>
        <w:rFonts w:ascii="Arial" w:hAnsi="Arial" w:hint="default"/>
      </w:rPr>
    </w:lvl>
    <w:lvl w:ilvl="5" w:tplc="895C12F8" w:tentative="1">
      <w:start w:val="1"/>
      <w:numFmt w:val="bullet"/>
      <w:lvlText w:val="•"/>
      <w:lvlJc w:val="left"/>
      <w:pPr>
        <w:tabs>
          <w:tab w:val="num" w:pos="4320"/>
        </w:tabs>
        <w:ind w:left="4320" w:hanging="360"/>
      </w:pPr>
      <w:rPr>
        <w:rFonts w:ascii="Arial" w:hAnsi="Arial" w:hint="default"/>
      </w:rPr>
    </w:lvl>
    <w:lvl w:ilvl="6" w:tplc="35CA1808" w:tentative="1">
      <w:start w:val="1"/>
      <w:numFmt w:val="bullet"/>
      <w:lvlText w:val="•"/>
      <w:lvlJc w:val="left"/>
      <w:pPr>
        <w:tabs>
          <w:tab w:val="num" w:pos="5040"/>
        </w:tabs>
        <w:ind w:left="5040" w:hanging="360"/>
      </w:pPr>
      <w:rPr>
        <w:rFonts w:ascii="Arial" w:hAnsi="Arial" w:hint="default"/>
      </w:rPr>
    </w:lvl>
    <w:lvl w:ilvl="7" w:tplc="435C7370" w:tentative="1">
      <w:start w:val="1"/>
      <w:numFmt w:val="bullet"/>
      <w:lvlText w:val="•"/>
      <w:lvlJc w:val="left"/>
      <w:pPr>
        <w:tabs>
          <w:tab w:val="num" w:pos="5760"/>
        </w:tabs>
        <w:ind w:left="5760" w:hanging="360"/>
      </w:pPr>
      <w:rPr>
        <w:rFonts w:ascii="Arial" w:hAnsi="Arial" w:hint="default"/>
      </w:rPr>
    </w:lvl>
    <w:lvl w:ilvl="8" w:tplc="1CF06BF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040235A"/>
    <w:multiLevelType w:val="hybridMultilevel"/>
    <w:tmpl w:val="D9A62E68"/>
    <w:lvl w:ilvl="0" w:tplc="321A5A76">
      <w:start w:val="1"/>
      <w:numFmt w:val="decimal"/>
      <w:lvlText w:val="%1"/>
      <w:lvlJc w:val="left"/>
      <w:pPr>
        <w:ind w:left="360" w:hanging="360"/>
      </w:pPr>
      <w:rPr>
        <w:rFonts w:hint="default"/>
        <w:color w:val="5E8C2C" w:themeColor="text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8D26606"/>
    <w:multiLevelType w:val="hybridMultilevel"/>
    <w:tmpl w:val="9486698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A526706"/>
    <w:multiLevelType w:val="multilevel"/>
    <w:tmpl w:val="DD18A23E"/>
    <w:lvl w:ilvl="0">
      <w:start w:val="1"/>
      <w:numFmt w:val="decimal"/>
      <w:lvlText w:val="%1."/>
      <w:lvlJc w:val="left"/>
      <w:pPr>
        <w:ind w:left="360" w:hanging="360"/>
      </w:pPr>
      <w:rPr>
        <w:rFonts w:hint="default"/>
        <w:b/>
        <w:i w:val="0"/>
        <w:color w:val="5E8C2C" w:themeColor="text2"/>
        <w:sz w:val="48"/>
        <w:szCs w:val="80"/>
      </w:rPr>
    </w:lvl>
    <w:lvl w:ilvl="1">
      <w:start w:val="1"/>
      <w:numFmt w:val="decimal"/>
      <w:lvlText w:val="%1.%2"/>
      <w:lvlJc w:val="left"/>
      <w:pPr>
        <w:tabs>
          <w:tab w:val="num" w:pos="720"/>
        </w:tabs>
        <w:ind w:left="720" w:hanging="720"/>
      </w:pPr>
      <w:rPr>
        <w:specVanish w:val="0"/>
      </w:rPr>
    </w:lvl>
    <w:lvl w:ilvl="2">
      <w:start w:val="1"/>
      <w:numFmt w:val="none"/>
      <w:suff w:val="nothing"/>
      <w:lvlText w:val=""/>
      <w:lvlJc w:val="left"/>
      <w:pPr>
        <w:ind w:left="0" w:firstLine="0"/>
      </w:pPr>
      <w:rPr>
        <w:rFonts w:ascii="Helvetica" w:hAnsi="Helvetica" w:hint="default"/>
        <w:b w:val="0"/>
        <w:i w:val="0"/>
        <w:sz w:val="20"/>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232"/>
        </w:tabs>
        <w:ind w:left="2232" w:hanging="2232"/>
      </w:pPr>
      <w:rPr>
        <w:rFonts w:hint="default"/>
      </w:rPr>
    </w:lvl>
    <w:lvl w:ilvl="5">
      <w:start w:val="1"/>
      <w:numFmt w:val="decimal"/>
      <w:lvlText w:val="%1.%2.%3.%4.%5.%6."/>
      <w:lvlJc w:val="left"/>
      <w:pPr>
        <w:tabs>
          <w:tab w:val="num" w:pos="2736"/>
        </w:tabs>
        <w:ind w:left="2736" w:hanging="2736"/>
      </w:pPr>
      <w:rPr>
        <w:rFonts w:hint="default"/>
      </w:rPr>
    </w:lvl>
    <w:lvl w:ilvl="6">
      <w:start w:val="1"/>
      <w:numFmt w:val="decimal"/>
      <w:lvlText w:val="%1.%2.%3.%4.%5.%6.%7."/>
      <w:lvlJc w:val="left"/>
      <w:pPr>
        <w:tabs>
          <w:tab w:val="num" w:pos="3240"/>
        </w:tabs>
        <w:ind w:left="3240" w:hanging="3240"/>
      </w:pPr>
      <w:rPr>
        <w:rFonts w:hint="default"/>
      </w:rPr>
    </w:lvl>
    <w:lvl w:ilvl="7">
      <w:start w:val="1"/>
      <w:numFmt w:val="decimal"/>
      <w:lvlText w:val="%1.%2.%3.%4.%5.%6.%7.%8."/>
      <w:lvlJc w:val="left"/>
      <w:pPr>
        <w:tabs>
          <w:tab w:val="num" w:pos="3744"/>
        </w:tabs>
        <w:ind w:left="3744" w:hanging="3744"/>
      </w:pPr>
      <w:rPr>
        <w:rFonts w:hint="default"/>
      </w:rPr>
    </w:lvl>
    <w:lvl w:ilvl="8">
      <w:start w:val="1"/>
      <w:numFmt w:val="decimal"/>
      <w:lvlText w:val="%1.%2.%3.%4.%5.%6.%7.%8.%9."/>
      <w:lvlJc w:val="left"/>
      <w:pPr>
        <w:tabs>
          <w:tab w:val="num" w:pos="4320"/>
        </w:tabs>
        <w:ind w:left="4320" w:hanging="4320"/>
      </w:pPr>
      <w:rPr>
        <w:rFonts w:hint="default"/>
      </w:rPr>
    </w:lvl>
  </w:abstractNum>
  <w:abstractNum w:abstractNumId="11" w15:restartNumberingAfterBreak="0">
    <w:nsid w:val="1C3C58C3"/>
    <w:multiLevelType w:val="multilevel"/>
    <w:tmpl w:val="5E9012EA"/>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1D865635"/>
    <w:multiLevelType w:val="hybridMultilevel"/>
    <w:tmpl w:val="F89640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DC00319"/>
    <w:multiLevelType w:val="hybridMultilevel"/>
    <w:tmpl w:val="00CC0228"/>
    <w:lvl w:ilvl="0" w:tplc="1E2AB7FE">
      <w:start w:val="1"/>
      <w:numFmt w:val="bullet"/>
      <w:lvlText w:val="•"/>
      <w:lvlJc w:val="left"/>
      <w:pPr>
        <w:tabs>
          <w:tab w:val="num" w:pos="720"/>
        </w:tabs>
        <w:ind w:left="720" w:hanging="360"/>
      </w:pPr>
      <w:rPr>
        <w:rFonts w:ascii="Arial" w:hAnsi="Arial" w:hint="default"/>
      </w:rPr>
    </w:lvl>
    <w:lvl w:ilvl="1" w:tplc="34D64EEC" w:tentative="1">
      <w:start w:val="1"/>
      <w:numFmt w:val="bullet"/>
      <w:lvlText w:val="•"/>
      <w:lvlJc w:val="left"/>
      <w:pPr>
        <w:tabs>
          <w:tab w:val="num" w:pos="1440"/>
        </w:tabs>
        <w:ind w:left="1440" w:hanging="360"/>
      </w:pPr>
      <w:rPr>
        <w:rFonts w:ascii="Arial" w:hAnsi="Arial" w:hint="default"/>
      </w:rPr>
    </w:lvl>
    <w:lvl w:ilvl="2" w:tplc="3AF8B100" w:tentative="1">
      <w:start w:val="1"/>
      <w:numFmt w:val="bullet"/>
      <w:lvlText w:val="•"/>
      <w:lvlJc w:val="left"/>
      <w:pPr>
        <w:tabs>
          <w:tab w:val="num" w:pos="2160"/>
        </w:tabs>
        <w:ind w:left="2160" w:hanging="360"/>
      </w:pPr>
      <w:rPr>
        <w:rFonts w:ascii="Arial" w:hAnsi="Arial" w:hint="default"/>
      </w:rPr>
    </w:lvl>
    <w:lvl w:ilvl="3" w:tplc="D88855AE" w:tentative="1">
      <w:start w:val="1"/>
      <w:numFmt w:val="bullet"/>
      <w:lvlText w:val="•"/>
      <w:lvlJc w:val="left"/>
      <w:pPr>
        <w:tabs>
          <w:tab w:val="num" w:pos="2880"/>
        </w:tabs>
        <w:ind w:left="2880" w:hanging="360"/>
      </w:pPr>
      <w:rPr>
        <w:rFonts w:ascii="Arial" w:hAnsi="Arial" w:hint="default"/>
      </w:rPr>
    </w:lvl>
    <w:lvl w:ilvl="4" w:tplc="4908505E" w:tentative="1">
      <w:start w:val="1"/>
      <w:numFmt w:val="bullet"/>
      <w:lvlText w:val="•"/>
      <w:lvlJc w:val="left"/>
      <w:pPr>
        <w:tabs>
          <w:tab w:val="num" w:pos="3600"/>
        </w:tabs>
        <w:ind w:left="3600" w:hanging="360"/>
      </w:pPr>
      <w:rPr>
        <w:rFonts w:ascii="Arial" w:hAnsi="Arial" w:hint="default"/>
      </w:rPr>
    </w:lvl>
    <w:lvl w:ilvl="5" w:tplc="856AA580" w:tentative="1">
      <w:start w:val="1"/>
      <w:numFmt w:val="bullet"/>
      <w:lvlText w:val="•"/>
      <w:lvlJc w:val="left"/>
      <w:pPr>
        <w:tabs>
          <w:tab w:val="num" w:pos="4320"/>
        </w:tabs>
        <w:ind w:left="4320" w:hanging="360"/>
      </w:pPr>
      <w:rPr>
        <w:rFonts w:ascii="Arial" w:hAnsi="Arial" w:hint="default"/>
      </w:rPr>
    </w:lvl>
    <w:lvl w:ilvl="6" w:tplc="C860C188" w:tentative="1">
      <w:start w:val="1"/>
      <w:numFmt w:val="bullet"/>
      <w:lvlText w:val="•"/>
      <w:lvlJc w:val="left"/>
      <w:pPr>
        <w:tabs>
          <w:tab w:val="num" w:pos="5040"/>
        </w:tabs>
        <w:ind w:left="5040" w:hanging="360"/>
      </w:pPr>
      <w:rPr>
        <w:rFonts w:ascii="Arial" w:hAnsi="Arial" w:hint="default"/>
      </w:rPr>
    </w:lvl>
    <w:lvl w:ilvl="7" w:tplc="1DE42C3A" w:tentative="1">
      <w:start w:val="1"/>
      <w:numFmt w:val="bullet"/>
      <w:lvlText w:val="•"/>
      <w:lvlJc w:val="left"/>
      <w:pPr>
        <w:tabs>
          <w:tab w:val="num" w:pos="5760"/>
        </w:tabs>
        <w:ind w:left="5760" w:hanging="360"/>
      </w:pPr>
      <w:rPr>
        <w:rFonts w:ascii="Arial" w:hAnsi="Arial" w:hint="default"/>
      </w:rPr>
    </w:lvl>
    <w:lvl w:ilvl="8" w:tplc="3CFA993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EA85C30"/>
    <w:multiLevelType w:val="hybridMultilevel"/>
    <w:tmpl w:val="BD90D0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0C30117"/>
    <w:multiLevelType w:val="hybridMultilevel"/>
    <w:tmpl w:val="E7042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376C91"/>
    <w:multiLevelType w:val="hybridMultilevel"/>
    <w:tmpl w:val="BF4C79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238D0863"/>
    <w:multiLevelType w:val="hybridMultilevel"/>
    <w:tmpl w:val="B8483F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3C73F4C"/>
    <w:multiLevelType w:val="hybridMultilevel"/>
    <w:tmpl w:val="F4F287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AD86952"/>
    <w:multiLevelType w:val="hybridMultilevel"/>
    <w:tmpl w:val="A474A8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E4E33F7"/>
    <w:multiLevelType w:val="hybridMultilevel"/>
    <w:tmpl w:val="7CE61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F44094F"/>
    <w:multiLevelType w:val="hybridMultilevel"/>
    <w:tmpl w:val="8CD09D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1717248"/>
    <w:multiLevelType w:val="hybridMultilevel"/>
    <w:tmpl w:val="FD9CD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3B9793B"/>
    <w:multiLevelType w:val="multilevel"/>
    <w:tmpl w:val="CB46E708"/>
    <w:lvl w:ilvl="0">
      <w:start w:val="1"/>
      <w:numFmt w:val="decimal"/>
      <w:lvlText w:val="%1."/>
      <w:lvlJc w:val="left"/>
      <w:pPr>
        <w:ind w:left="360" w:hanging="360"/>
      </w:pPr>
      <w:rPr>
        <w:rFonts w:hint="default"/>
        <w:color w:val="5E8C2C" w:themeColor="text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6D4E9D"/>
    <w:multiLevelType w:val="hybridMultilevel"/>
    <w:tmpl w:val="369C6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D523051"/>
    <w:multiLevelType w:val="hybridMultilevel"/>
    <w:tmpl w:val="B8B460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3D9C422C"/>
    <w:multiLevelType w:val="multilevel"/>
    <w:tmpl w:val="0413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rPr>
        <w:rFonts w:ascii="Calibri" w:hAnsi="Calibri"/>
      </w:rPr>
    </w:lvl>
    <w:lvl w:ilvl="2">
      <w:start w:val="1"/>
      <w:numFmt w:val="decimal"/>
      <w:lvlText w:val="%1.%2.%3."/>
      <w:lvlJc w:val="left"/>
      <w:pPr>
        <w:ind w:left="1224" w:hanging="504"/>
      </w:pPr>
      <w:rPr>
        <w:rFonts w:ascii="Calibri" w:hAnsi="Calibr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5D4A91"/>
    <w:multiLevelType w:val="multilevel"/>
    <w:tmpl w:val="0413001D"/>
    <w:styleLink w:val="Opsomming"/>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Symbol" w:hAnsi="Symbol" w:hint="default"/>
        <w:color w:val="auto"/>
        <w:sz w:val="20"/>
      </w:rPr>
    </w:lvl>
    <w:lvl w:ilvl="2">
      <w:start w:val="1"/>
      <w:numFmt w:val="bullet"/>
      <w:lvlText w:val=""/>
      <w:lvlJc w:val="left"/>
      <w:pPr>
        <w:tabs>
          <w:tab w:val="num" w:pos="1080"/>
        </w:tabs>
        <w:ind w:left="1080" w:hanging="360"/>
      </w:pPr>
      <w:rPr>
        <w:rFonts w:ascii="Wingdings" w:hAnsi="Wingdings" w:hint="default"/>
        <w:color w:val="auto"/>
        <w:sz w:val="16"/>
      </w:rPr>
    </w:lvl>
    <w:lvl w:ilvl="3">
      <w:start w:val="1"/>
      <w:numFmt w:val="none"/>
      <w:lvlText w:val="%4"/>
      <w:lvlJc w:val="left"/>
      <w:pPr>
        <w:tabs>
          <w:tab w:val="num" w:pos="1440"/>
        </w:tabs>
        <w:ind w:left="1440" w:hanging="360"/>
      </w:pPr>
      <w:rPr>
        <w:rFonts w:ascii="Times New Roman" w:hAnsi="Times New Roman" w:hint="default"/>
        <w:color w:val="auto"/>
      </w:rPr>
    </w:lvl>
    <w:lvl w:ilvl="4">
      <w:start w:val="1"/>
      <w:numFmt w:val="none"/>
      <w:lvlText w:val="%5"/>
      <w:lvlJc w:val="left"/>
      <w:pPr>
        <w:tabs>
          <w:tab w:val="num" w:pos="1800"/>
        </w:tabs>
        <w:ind w:left="1800" w:hanging="360"/>
      </w:pPr>
      <w:rPr>
        <w:rFonts w:ascii="Times New Roman" w:hAnsi="Times New Roman" w:hint="default"/>
        <w:color w:val="auto"/>
      </w:rPr>
    </w:lvl>
    <w:lvl w:ilvl="5">
      <w:start w:val="1"/>
      <w:numFmt w:val="none"/>
      <w:lvlText w:val="%6"/>
      <w:lvlJc w:val="left"/>
      <w:pPr>
        <w:tabs>
          <w:tab w:val="num" w:pos="2160"/>
        </w:tabs>
        <w:ind w:left="2160" w:hanging="360"/>
      </w:pPr>
      <w:rPr>
        <w:rFonts w:ascii="Times New Roman" w:hAnsi="Times New Roman" w:hint="default"/>
        <w:color w:val="auto"/>
      </w:rPr>
    </w:lvl>
    <w:lvl w:ilvl="6">
      <w:start w:val="1"/>
      <w:numFmt w:val="none"/>
      <w:lvlText w:val="%7"/>
      <w:lvlJc w:val="left"/>
      <w:pPr>
        <w:tabs>
          <w:tab w:val="num" w:pos="2520"/>
        </w:tabs>
        <w:ind w:left="2520" w:hanging="360"/>
      </w:pPr>
      <w:rPr>
        <w:rFonts w:ascii="Times New Roman" w:hAnsi="Times New Roman" w:hint="default"/>
        <w:color w:val="auto"/>
      </w:rPr>
    </w:lvl>
    <w:lvl w:ilvl="7">
      <w:start w:val="1"/>
      <w:numFmt w:val="none"/>
      <w:lvlText w:val="%8"/>
      <w:lvlJc w:val="left"/>
      <w:pPr>
        <w:tabs>
          <w:tab w:val="num" w:pos="2880"/>
        </w:tabs>
        <w:ind w:left="2880" w:hanging="360"/>
      </w:pPr>
      <w:rPr>
        <w:rFonts w:ascii="Times New Roman" w:hAnsi="Times New Roman" w:hint="default"/>
        <w:color w:val="auto"/>
      </w:rPr>
    </w:lvl>
    <w:lvl w:ilvl="8">
      <w:start w:val="1"/>
      <w:numFmt w:val="none"/>
      <w:lvlText w:val="%9"/>
      <w:lvlJc w:val="left"/>
      <w:pPr>
        <w:tabs>
          <w:tab w:val="num" w:pos="3240"/>
        </w:tabs>
        <w:ind w:left="3240" w:hanging="360"/>
      </w:pPr>
      <w:rPr>
        <w:rFonts w:ascii="Times New Roman" w:hAnsi="Times New Roman" w:hint="default"/>
        <w:color w:val="auto"/>
      </w:rPr>
    </w:lvl>
  </w:abstractNum>
  <w:abstractNum w:abstractNumId="28" w15:restartNumberingAfterBreak="0">
    <w:nsid w:val="42DE1017"/>
    <w:multiLevelType w:val="hybridMultilevel"/>
    <w:tmpl w:val="D5665D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43D2008D"/>
    <w:multiLevelType w:val="hybridMultilevel"/>
    <w:tmpl w:val="B3044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6FA3356"/>
    <w:multiLevelType w:val="hybridMultilevel"/>
    <w:tmpl w:val="51B4D7EC"/>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1" w15:restartNumberingAfterBreak="0">
    <w:nsid w:val="51E3448A"/>
    <w:multiLevelType w:val="hybridMultilevel"/>
    <w:tmpl w:val="3C944E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57F9266A"/>
    <w:multiLevelType w:val="hybridMultilevel"/>
    <w:tmpl w:val="E15AC71A"/>
    <w:lvl w:ilvl="0" w:tplc="D8F4850E">
      <w:start w:val="1"/>
      <w:numFmt w:val="bullet"/>
      <w:lvlText w:val="•"/>
      <w:lvlJc w:val="left"/>
      <w:pPr>
        <w:tabs>
          <w:tab w:val="num" w:pos="720"/>
        </w:tabs>
        <w:ind w:left="720" w:hanging="360"/>
      </w:pPr>
      <w:rPr>
        <w:rFonts w:ascii="Arial" w:hAnsi="Arial" w:hint="default"/>
      </w:rPr>
    </w:lvl>
    <w:lvl w:ilvl="1" w:tplc="CAD02902" w:tentative="1">
      <w:start w:val="1"/>
      <w:numFmt w:val="bullet"/>
      <w:lvlText w:val="•"/>
      <w:lvlJc w:val="left"/>
      <w:pPr>
        <w:tabs>
          <w:tab w:val="num" w:pos="1440"/>
        </w:tabs>
        <w:ind w:left="1440" w:hanging="360"/>
      </w:pPr>
      <w:rPr>
        <w:rFonts w:ascii="Arial" w:hAnsi="Arial" w:hint="default"/>
      </w:rPr>
    </w:lvl>
    <w:lvl w:ilvl="2" w:tplc="B89266D4" w:tentative="1">
      <w:start w:val="1"/>
      <w:numFmt w:val="bullet"/>
      <w:lvlText w:val="•"/>
      <w:lvlJc w:val="left"/>
      <w:pPr>
        <w:tabs>
          <w:tab w:val="num" w:pos="2160"/>
        </w:tabs>
        <w:ind w:left="2160" w:hanging="360"/>
      </w:pPr>
      <w:rPr>
        <w:rFonts w:ascii="Arial" w:hAnsi="Arial" w:hint="default"/>
      </w:rPr>
    </w:lvl>
    <w:lvl w:ilvl="3" w:tplc="69AED35E" w:tentative="1">
      <w:start w:val="1"/>
      <w:numFmt w:val="bullet"/>
      <w:lvlText w:val="•"/>
      <w:lvlJc w:val="left"/>
      <w:pPr>
        <w:tabs>
          <w:tab w:val="num" w:pos="2880"/>
        </w:tabs>
        <w:ind w:left="2880" w:hanging="360"/>
      </w:pPr>
      <w:rPr>
        <w:rFonts w:ascii="Arial" w:hAnsi="Arial" w:hint="default"/>
      </w:rPr>
    </w:lvl>
    <w:lvl w:ilvl="4" w:tplc="56043530" w:tentative="1">
      <w:start w:val="1"/>
      <w:numFmt w:val="bullet"/>
      <w:lvlText w:val="•"/>
      <w:lvlJc w:val="left"/>
      <w:pPr>
        <w:tabs>
          <w:tab w:val="num" w:pos="3600"/>
        </w:tabs>
        <w:ind w:left="3600" w:hanging="360"/>
      </w:pPr>
      <w:rPr>
        <w:rFonts w:ascii="Arial" w:hAnsi="Arial" w:hint="default"/>
      </w:rPr>
    </w:lvl>
    <w:lvl w:ilvl="5" w:tplc="DD5A4E4E" w:tentative="1">
      <w:start w:val="1"/>
      <w:numFmt w:val="bullet"/>
      <w:lvlText w:val="•"/>
      <w:lvlJc w:val="left"/>
      <w:pPr>
        <w:tabs>
          <w:tab w:val="num" w:pos="4320"/>
        </w:tabs>
        <w:ind w:left="4320" w:hanging="360"/>
      </w:pPr>
      <w:rPr>
        <w:rFonts w:ascii="Arial" w:hAnsi="Arial" w:hint="default"/>
      </w:rPr>
    </w:lvl>
    <w:lvl w:ilvl="6" w:tplc="7826EBEA" w:tentative="1">
      <w:start w:val="1"/>
      <w:numFmt w:val="bullet"/>
      <w:lvlText w:val="•"/>
      <w:lvlJc w:val="left"/>
      <w:pPr>
        <w:tabs>
          <w:tab w:val="num" w:pos="5040"/>
        </w:tabs>
        <w:ind w:left="5040" w:hanging="360"/>
      </w:pPr>
      <w:rPr>
        <w:rFonts w:ascii="Arial" w:hAnsi="Arial" w:hint="default"/>
      </w:rPr>
    </w:lvl>
    <w:lvl w:ilvl="7" w:tplc="37F0542E" w:tentative="1">
      <w:start w:val="1"/>
      <w:numFmt w:val="bullet"/>
      <w:lvlText w:val="•"/>
      <w:lvlJc w:val="left"/>
      <w:pPr>
        <w:tabs>
          <w:tab w:val="num" w:pos="5760"/>
        </w:tabs>
        <w:ind w:left="5760" w:hanging="360"/>
      </w:pPr>
      <w:rPr>
        <w:rFonts w:ascii="Arial" w:hAnsi="Arial" w:hint="default"/>
      </w:rPr>
    </w:lvl>
    <w:lvl w:ilvl="8" w:tplc="C11E1AD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8556F32"/>
    <w:multiLevelType w:val="hybridMultilevel"/>
    <w:tmpl w:val="3E081B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8782EF5"/>
    <w:multiLevelType w:val="hybridMultilevel"/>
    <w:tmpl w:val="45A2BC04"/>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DB66A41"/>
    <w:multiLevelType w:val="hybridMultilevel"/>
    <w:tmpl w:val="3522C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E813AA4"/>
    <w:multiLevelType w:val="hybridMultilevel"/>
    <w:tmpl w:val="234A1D80"/>
    <w:lvl w:ilvl="0" w:tplc="5A665158">
      <w:start w:val="1"/>
      <w:numFmt w:val="bullet"/>
      <w:lvlText w:val=""/>
      <w:lvlJc w:val="left"/>
      <w:pPr>
        <w:ind w:left="510" w:hanging="51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F98246B"/>
    <w:multiLevelType w:val="hybridMultilevel"/>
    <w:tmpl w:val="B05E7390"/>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38" w15:restartNumberingAfterBreak="0">
    <w:nsid w:val="60A57382"/>
    <w:multiLevelType w:val="hybridMultilevel"/>
    <w:tmpl w:val="1E6EDE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1106312"/>
    <w:multiLevelType w:val="hybridMultilevel"/>
    <w:tmpl w:val="4C8619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F085CA8"/>
    <w:multiLevelType w:val="hybridMultilevel"/>
    <w:tmpl w:val="C5C499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2E21818"/>
    <w:multiLevelType w:val="hybridMultilevel"/>
    <w:tmpl w:val="C56428D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76111EA"/>
    <w:multiLevelType w:val="hybridMultilevel"/>
    <w:tmpl w:val="C8FE67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3" w15:restartNumberingAfterBreak="0">
    <w:nsid w:val="77AA0D76"/>
    <w:multiLevelType w:val="hybridMultilevel"/>
    <w:tmpl w:val="C4B294AA"/>
    <w:lvl w:ilvl="0" w:tplc="E3420A98">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92A203A"/>
    <w:multiLevelType w:val="hybridMultilevel"/>
    <w:tmpl w:val="0C080F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26"/>
  </w:num>
  <w:num w:numId="4">
    <w:abstractNumId w:val="10"/>
  </w:num>
  <w:num w:numId="5">
    <w:abstractNumId w:val="19"/>
  </w:num>
  <w:num w:numId="6">
    <w:abstractNumId w:val="21"/>
  </w:num>
  <w:num w:numId="7">
    <w:abstractNumId w:val="3"/>
  </w:num>
  <w:num w:numId="8">
    <w:abstractNumId w:val="16"/>
  </w:num>
  <w:num w:numId="9">
    <w:abstractNumId w:val="29"/>
  </w:num>
  <w:num w:numId="10">
    <w:abstractNumId w:val="35"/>
  </w:num>
  <w:num w:numId="11">
    <w:abstractNumId w:val="38"/>
  </w:num>
  <w:num w:numId="12">
    <w:abstractNumId w:val="40"/>
  </w:num>
  <w:num w:numId="13">
    <w:abstractNumId w:val="1"/>
  </w:num>
  <w:num w:numId="14">
    <w:abstractNumId w:val="2"/>
  </w:num>
  <w:num w:numId="15">
    <w:abstractNumId w:val="6"/>
  </w:num>
  <w:num w:numId="16">
    <w:abstractNumId w:val="15"/>
  </w:num>
  <w:num w:numId="17">
    <w:abstractNumId w:val="20"/>
  </w:num>
  <w:num w:numId="18">
    <w:abstractNumId w:val="28"/>
  </w:num>
  <w:num w:numId="19">
    <w:abstractNumId w:val="18"/>
  </w:num>
  <w:num w:numId="20">
    <w:abstractNumId w:val="33"/>
  </w:num>
  <w:num w:numId="21">
    <w:abstractNumId w:val="25"/>
  </w:num>
  <w:num w:numId="22">
    <w:abstractNumId w:val="31"/>
  </w:num>
  <w:num w:numId="23">
    <w:abstractNumId w:val="0"/>
  </w:num>
  <w:num w:numId="24">
    <w:abstractNumId w:val="34"/>
  </w:num>
  <w:num w:numId="25">
    <w:abstractNumId w:val="24"/>
  </w:num>
  <w:num w:numId="26">
    <w:abstractNumId w:val="14"/>
  </w:num>
  <w:num w:numId="27">
    <w:abstractNumId w:val="10"/>
  </w:num>
  <w:num w:numId="28">
    <w:abstractNumId w:val="43"/>
  </w:num>
  <w:num w:numId="29">
    <w:abstractNumId w:val="44"/>
  </w:num>
  <w:num w:numId="30">
    <w:abstractNumId w:val="9"/>
  </w:num>
  <w:num w:numId="31">
    <w:abstractNumId w:val="22"/>
  </w:num>
  <w:num w:numId="32">
    <w:abstractNumId w:val="30"/>
  </w:num>
  <w:num w:numId="33">
    <w:abstractNumId w:val="17"/>
  </w:num>
  <w:num w:numId="34">
    <w:abstractNumId w:val="39"/>
  </w:num>
  <w:num w:numId="35">
    <w:abstractNumId w:val="5"/>
  </w:num>
  <w:num w:numId="36">
    <w:abstractNumId w:val="37"/>
  </w:num>
  <w:num w:numId="37">
    <w:abstractNumId w:val="42"/>
  </w:num>
  <w:num w:numId="38">
    <w:abstractNumId w:val="13"/>
  </w:num>
  <w:num w:numId="39">
    <w:abstractNumId w:val="7"/>
  </w:num>
  <w:num w:numId="40">
    <w:abstractNumId w:val="41"/>
  </w:num>
  <w:num w:numId="41">
    <w:abstractNumId w:val="4"/>
  </w:num>
  <w:num w:numId="42">
    <w:abstractNumId w:val="32"/>
  </w:num>
  <w:num w:numId="43">
    <w:abstractNumId w:val="8"/>
  </w:num>
  <w:num w:numId="44">
    <w:abstractNumId w:val="23"/>
  </w:num>
  <w:num w:numId="45">
    <w:abstractNumId w:val="11"/>
  </w:num>
  <w:num w:numId="46">
    <w:abstractNumId w:val="36"/>
  </w:num>
  <w:num w:numId="47">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425"/>
  <w:characterSpacingControl w:val="doNotCompress"/>
  <w:hdrShapeDefaults>
    <o:shapedefaults v:ext="edit" spidmax="8193">
      <o:colormru v:ext="edit" colors="#018250,#00683b,#a7ffd1,#e5fff1,#00c05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D01"/>
    <w:rsid w:val="00001554"/>
    <w:rsid w:val="000045BD"/>
    <w:rsid w:val="00005BE0"/>
    <w:rsid w:val="00007EF2"/>
    <w:rsid w:val="00011115"/>
    <w:rsid w:val="0001763A"/>
    <w:rsid w:val="00021AFB"/>
    <w:rsid w:val="00024962"/>
    <w:rsid w:val="00025EC4"/>
    <w:rsid w:val="000307E8"/>
    <w:rsid w:val="00030C3E"/>
    <w:rsid w:val="00031616"/>
    <w:rsid w:val="000317D2"/>
    <w:rsid w:val="000331EC"/>
    <w:rsid w:val="00033E7B"/>
    <w:rsid w:val="000365A5"/>
    <w:rsid w:val="0003693D"/>
    <w:rsid w:val="00040AF0"/>
    <w:rsid w:val="000412FB"/>
    <w:rsid w:val="00041FC0"/>
    <w:rsid w:val="00043679"/>
    <w:rsid w:val="00044F6D"/>
    <w:rsid w:val="00051173"/>
    <w:rsid w:val="0005177A"/>
    <w:rsid w:val="00053767"/>
    <w:rsid w:val="000602E5"/>
    <w:rsid w:val="00062E17"/>
    <w:rsid w:val="00063B3B"/>
    <w:rsid w:val="000652FC"/>
    <w:rsid w:val="00067CA7"/>
    <w:rsid w:val="00067DF6"/>
    <w:rsid w:val="000750EC"/>
    <w:rsid w:val="00075327"/>
    <w:rsid w:val="00075E59"/>
    <w:rsid w:val="00077D14"/>
    <w:rsid w:val="000821E2"/>
    <w:rsid w:val="00083548"/>
    <w:rsid w:val="0008652A"/>
    <w:rsid w:val="00087DB8"/>
    <w:rsid w:val="00091075"/>
    <w:rsid w:val="00091A03"/>
    <w:rsid w:val="00096E49"/>
    <w:rsid w:val="000A0D30"/>
    <w:rsid w:val="000A421D"/>
    <w:rsid w:val="000A6841"/>
    <w:rsid w:val="000A6975"/>
    <w:rsid w:val="000B0181"/>
    <w:rsid w:val="000B023F"/>
    <w:rsid w:val="000B028C"/>
    <w:rsid w:val="000B08EF"/>
    <w:rsid w:val="000B1643"/>
    <w:rsid w:val="000B4DF0"/>
    <w:rsid w:val="000B541E"/>
    <w:rsid w:val="000B58FE"/>
    <w:rsid w:val="000B63E7"/>
    <w:rsid w:val="000C283E"/>
    <w:rsid w:val="000C2B68"/>
    <w:rsid w:val="000C2FF0"/>
    <w:rsid w:val="000C4233"/>
    <w:rsid w:val="000C4D1E"/>
    <w:rsid w:val="000C63D2"/>
    <w:rsid w:val="000D331F"/>
    <w:rsid w:val="000D3566"/>
    <w:rsid w:val="000D4C60"/>
    <w:rsid w:val="000D5332"/>
    <w:rsid w:val="000D5ADD"/>
    <w:rsid w:val="000E2F21"/>
    <w:rsid w:val="000E42C5"/>
    <w:rsid w:val="000E4407"/>
    <w:rsid w:val="000F0429"/>
    <w:rsid w:val="000F0D12"/>
    <w:rsid w:val="000F2F92"/>
    <w:rsid w:val="000F3B7C"/>
    <w:rsid w:val="000F4B3E"/>
    <w:rsid w:val="000F5394"/>
    <w:rsid w:val="000F6E5D"/>
    <w:rsid w:val="00101DC8"/>
    <w:rsid w:val="001023E4"/>
    <w:rsid w:val="00105A0D"/>
    <w:rsid w:val="00107EC8"/>
    <w:rsid w:val="00110083"/>
    <w:rsid w:val="00115B56"/>
    <w:rsid w:val="00115DF0"/>
    <w:rsid w:val="00121CFE"/>
    <w:rsid w:val="00123D5F"/>
    <w:rsid w:val="00124344"/>
    <w:rsid w:val="00132336"/>
    <w:rsid w:val="0013494E"/>
    <w:rsid w:val="00140DAD"/>
    <w:rsid w:val="0014265D"/>
    <w:rsid w:val="0014304F"/>
    <w:rsid w:val="00144BD6"/>
    <w:rsid w:val="00144EBA"/>
    <w:rsid w:val="001458AE"/>
    <w:rsid w:val="00151197"/>
    <w:rsid w:val="00153BFD"/>
    <w:rsid w:val="00154057"/>
    <w:rsid w:val="0015415F"/>
    <w:rsid w:val="0015502F"/>
    <w:rsid w:val="00155A49"/>
    <w:rsid w:val="00156362"/>
    <w:rsid w:val="0015730A"/>
    <w:rsid w:val="00162A50"/>
    <w:rsid w:val="00162FF6"/>
    <w:rsid w:val="0016372B"/>
    <w:rsid w:val="00163F56"/>
    <w:rsid w:val="0016570A"/>
    <w:rsid w:val="0017306F"/>
    <w:rsid w:val="00176227"/>
    <w:rsid w:val="00176B82"/>
    <w:rsid w:val="00182B0E"/>
    <w:rsid w:val="00183BBC"/>
    <w:rsid w:val="001856C3"/>
    <w:rsid w:val="00187E38"/>
    <w:rsid w:val="00190C4B"/>
    <w:rsid w:val="00192463"/>
    <w:rsid w:val="00193494"/>
    <w:rsid w:val="001942D0"/>
    <w:rsid w:val="00194381"/>
    <w:rsid w:val="00197009"/>
    <w:rsid w:val="001A142D"/>
    <w:rsid w:val="001A4BA5"/>
    <w:rsid w:val="001A51EE"/>
    <w:rsid w:val="001A59B3"/>
    <w:rsid w:val="001A6173"/>
    <w:rsid w:val="001A78AB"/>
    <w:rsid w:val="001A7BE9"/>
    <w:rsid w:val="001C06A8"/>
    <w:rsid w:val="001C1227"/>
    <w:rsid w:val="001C125B"/>
    <w:rsid w:val="001C1EF1"/>
    <w:rsid w:val="001C50D5"/>
    <w:rsid w:val="001C7FB3"/>
    <w:rsid w:val="001D55CB"/>
    <w:rsid w:val="001E1F48"/>
    <w:rsid w:val="001E3AE5"/>
    <w:rsid w:val="001E71B5"/>
    <w:rsid w:val="001F0A66"/>
    <w:rsid w:val="001F3F4A"/>
    <w:rsid w:val="001F687A"/>
    <w:rsid w:val="001F6CEB"/>
    <w:rsid w:val="001F7892"/>
    <w:rsid w:val="001F7B17"/>
    <w:rsid w:val="0020090D"/>
    <w:rsid w:val="00200B5D"/>
    <w:rsid w:val="00203C81"/>
    <w:rsid w:val="00203D5C"/>
    <w:rsid w:val="00206DF8"/>
    <w:rsid w:val="00211057"/>
    <w:rsid w:val="002114A8"/>
    <w:rsid w:val="002118CB"/>
    <w:rsid w:val="002136CC"/>
    <w:rsid w:val="00213CE1"/>
    <w:rsid w:val="002155B3"/>
    <w:rsid w:val="002169B2"/>
    <w:rsid w:val="0021791A"/>
    <w:rsid w:val="00221805"/>
    <w:rsid w:val="00222E4A"/>
    <w:rsid w:val="00225355"/>
    <w:rsid w:val="002259BA"/>
    <w:rsid w:val="002267A5"/>
    <w:rsid w:val="00226D65"/>
    <w:rsid w:val="0023040E"/>
    <w:rsid w:val="00234A15"/>
    <w:rsid w:val="002368ED"/>
    <w:rsid w:val="00240C09"/>
    <w:rsid w:val="00240EB1"/>
    <w:rsid w:val="00247C1E"/>
    <w:rsid w:val="0025070D"/>
    <w:rsid w:val="002536C2"/>
    <w:rsid w:val="00267F3F"/>
    <w:rsid w:val="00273A5A"/>
    <w:rsid w:val="002743EF"/>
    <w:rsid w:val="0027514F"/>
    <w:rsid w:val="00281A58"/>
    <w:rsid w:val="002853B2"/>
    <w:rsid w:val="0029384E"/>
    <w:rsid w:val="00295082"/>
    <w:rsid w:val="002A065C"/>
    <w:rsid w:val="002A4511"/>
    <w:rsid w:val="002A6D01"/>
    <w:rsid w:val="002B0ED6"/>
    <w:rsid w:val="002B2DA6"/>
    <w:rsid w:val="002B7ED7"/>
    <w:rsid w:val="002C0D08"/>
    <w:rsid w:val="002C1203"/>
    <w:rsid w:val="002D20CC"/>
    <w:rsid w:val="002D519E"/>
    <w:rsid w:val="002E0A65"/>
    <w:rsid w:val="002E2A1C"/>
    <w:rsid w:val="002E662F"/>
    <w:rsid w:val="002E6EBA"/>
    <w:rsid w:val="002F20C7"/>
    <w:rsid w:val="002F3A6C"/>
    <w:rsid w:val="002F4024"/>
    <w:rsid w:val="002F63D7"/>
    <w:rsid w:val="002F72A9"/>
    <w:rsid w:val="0030054D"/>
    <w:rsid w:val="00300629"/>
    <w:rsid w:val="00300C3D"/>
    <w:rsid w:val="00304EBA"/>
    <w:rsid w:val="00316A79"/>
    <w:rsid w:val="00316DF2"/>
    <w:rsid w:val="00322714"/>
    <w:rsid w:val="00323D7D"/>
    <w:rsid w:val="0032532B"/>
    <w:rsid w:val="00326C52"/>
    <w:rsid w:val="003309AD"/>
    <w:rsid w:val="003309F2"/>
    <w:rsid w:val="00333A95"/>
    <w:rsid w:val="00334399"/>
    <w:rsid w:val="00335721"/>
    <w:rsid w:val="00337BB3"/>
    <w:rsid w:val="0034069E"/>
    <w:rsid w:val="00342E6B"/>
    <w:rsid w:val="00343F57"/>
    <w:rsid w:val="00347DAA"/>
    <w:rsid w:val="00355529"/>
    <w:rsid w:val="00355CCA"/>
    <w:rsid w:val="00356FEC"/>
    <w:rsid w:val="00357DF0"/>
    <w:rsid w:val="00361A23"/>
    <w:rsid w:val="00362C80"/>
    <w:rsid w:val="00364450"/>
    <w:rsid w:val="0036512D"/>
    <w:rsid w:val="00370436"/>
    <w:rsid w:val="00370AE1"/>
    <w:rsid w:val="003715AF"/>
    <w:rsid w:val="00373947"/>
    <w:rsid w:val="00376EE5"/>
    <w:rsid w:val="0037768E"/>
    <w:rsid w:val="003778BC"/>
    <w:rsid w:val="0038092C"/>
    <w:rsid w:val="00380FE9"/>
    <w:rsid w:val="0038550A"/>
    <w:rsid w:val="00385D3A"/>
    <w:rsid w:val="0038784B"/>
    <w:rsid w:val="00387AAA"/>
    <w:rsid w:val="00387BAE"/>
    <w:rsid w:val="00387DD3"/>
    <w:rsid w:val="00387F52"/>
    <w:rsid w:val="0039007B"/>
    <w:rsid w:val="00395741"/>
    <w:rsid w:val="003A225D"/>
    <w:rsid w:val="003A3B3D"/>
    <w:rsid w:val="003A724D"/>
    <w:rsid w:val="003B66DB"/>
    <w:rsid w:val="003B69B5"/>
    <w:rsid w:val="003B70E4"/>
    <w:rsid w:val="003B75F0"/>
    <w:rsid w:val="003C0CFB"/>
    <w:rsid w:val="003C4FE2"/>
    <w:rsid w:val="003C6516"/>
    <w:rsid w:val="003C6959"/>
    <w:rsid w:val="003C7964"/>
    <w:rsid w:val="003D1490"/>
    <w:rsid w:val="003E1F7E"/>
    <w:rsid w:val="003E3C0D"/>
    <w:rsid w:val="003E4382"/>
    <w:rsid w:val="003E63A0"/>
    <w:rsid w:val="003F019C"/>
    <w:rsid w:val="003F2CF2"/>
    <w:rsid w:val="003F3D74"/>
    <w:rsid w:val="003F726B"/>
    <w:rsid w:val="003F7C25"/>
    <w:rsid w:val="003F7DD3"/>
    <w:rsid w:val="0040160E"/>
    <w:rsid w:val="004017B2"/>
    <w:rsid w:val="004047B3"/>
    <w:rsid w:val="00407200"/>
    <w:rsid w:val="0041082B"/>
    <w:rsid w:val="00411298"/>
    <w:rsid w:val="00412C6F"/>
    <w:rsid w:val="0041345D"/>
    <w:rsid w:val="00416099"/>
    <w:rsid w:val="00416B63"/>
    <w:rsid w:val="00417322"/>
    <w:rsid w:val="0042021C"/>
    <w:rsid w:val="00424FEB"/>
    <w:rsid w:val="0042598A"/>
    <w:rsid w:val="004310F6"/>
    <w:rsid w:val="00434154"/>
    <w:rsid w:val="0043491F"/>
    <w:rsid w:val="00434F1B"/>
    <w:rsid w:val="00435CED"/>
    <w:rsid w:val="00440FF1"/>
    <w:rsid w:val="00442397"/>
    <w:rsid w:val="00442C59"/>
    <w:rsid w:val="004459B2"/>
    <w:rsid w:val="00447EBE"/>
    <w:rsid w:val="004503D2"/>
    <w:rsid w:val="0045264A"/>
    <w:rsid w:val="00452CA9"/>
    <w:rsid w:val="00454A31"/>
    <w:rsid w:val="00455321"/>
    <w:rsid w:val="0045763A"/>
    <w:rsid w:val="00461E1B"/>
    <w:rsid w:val="004636C4"/>
    <w:rsid w:val="0046435E"/>
    <w:rsid w:val="00466B9A"/>
    <w:rsid w:val="00466D95"/>
    <w:rsid w:val="00467814"/>
    <w:rsid w:val="0047566D"/>
    <w:rsid w:val="00483082"/>
    <w:rsid w:val="00483CC0"/>
    <w:rsid w:val="00493B08"/>
    <w:rsid w:val="00494798"/>
    <w:rsid w:val="004A25CA"/>
    <w:rsid w:val="004A28C4"/>
    <w:rsid w:val="004A63F5"/>
    <w:rsid w:val="004A722F"/>
    <w:rsid w:val="004A756A"/>
    <w:rsid w:val="004B025C"/>
    <w:rsid w:val="004B0712"/>
    <w:rsid w:val="004B0EFE"/>
    <w:rsid w:val="004B2F17"/>
    <w:rsid w:val="004B62D8"/>
    <w:rsid w:val="004B7743"/>
    <w:rsid w:val="004B79D8"/>
    <w:rsid w:val="004C060C"/>
    <w:rsid w:val="004C4BD0"/>
    <w:rsid w:val="004C5971"/>
    <w:rsid w:val="004D1C07"/>
    <w:rsid w:val="004D44F7"/>
    <w:rsid w:val="004D6639"/>
    <w:rsid w:val="004D7179"/>
    <w:rsid w:val="004E2247"/>
    <w:rsid w:val="004E3512"/>
    <w:rsid w:val="004E59A8"/>
    <w:rsid w:val="004E7D70"/>
    <w:rsid w:val="004F29C0"/>
    <w:rsid w:val="004F2A60"/>
    <w:rsid w:val="004F2F28"/>
    <w:rsid w:val="004F43D0"/>
    <w:rsid w:val="004F5588"/>
    <w:rsid w:val="004F5D42"/>
    <w:rsid w:val="004F7F62"/>
    <w:rsid w:val="00500C12"/>
    <w:rsid w:val="00501383"/>
    <w:rsid w:val="00501882"/>
    <w:rsid w:val="00502899"/>
    <w:rsid w:val="00505F7E"/>
    <w:rsid w:val="00507D99"/>
    <w:rsid w:val="0051071B"/>
    <w:rsid w:val="005112BC"/>
    <w:rsid w:val="005113A8"/>
    <w:rsid w:val="005133AB"/>
    <w:rsid w:val="00516242"/>
    <w:rsid w:val="00516F18"/>
    <w:rsid w:val="0051763D"/>
    <w:rsid w:val="0052244E"/>
    <w:rsid w:val="00523B79"/>
    <w:rsid w:val="0052410F"/>
    <w:rsid w:val="00524A32"/>
    <w:rsid w:val="0052613F"/>
    <w:rsid w:val="00526A0C"/>
    <w:rsid w:val="00532A56"/>
    <w:rsid w:val="00532A75"/>
    <w:rsid w:val="00532BD6"/>
    <w:rsid w:val="005356CB"/>
    <w:rsid w:val="00535CE3"/>
    <w:rsid w:val="0053754E"/>
    <w:rsid w:val="0054020E"/>
    <w:rsid w:val="005420C8"/>
    <w:rsid w:val="005443D4"/>
    <w:rsid w:val="00545204"/>
    <w:rsid w:val="00545325"/>
    <w:rsid w:val="005474F1"/>
    <w:rsid w:val="00553B77"/>
    <w:rsid w:val="00563465"/>
    <w:rsid w:val="00565414"/>
    <w:rsid w:val="00566570"/>
    <w:rsid w:val="00566811"/>
    <w:rsid w:val="005677C6"/>
    <w:rsid w:val="00570751"/>
    <w:rsid w:val="00571B26"/>
    <w:rsid w:val="00572D3E"/>
    <w:rsid w:val="00575560"/>
    <w:rsid w:val="00580248"/>
    <w:rsid w:val="00581A9C"/>
    <w:rsid w:val="00582314"/>
    <w:rsid w:val="00582880"/>
    <w:rsid w:val="00583E6D"/>
    <w:rsid w:val="005864E6"/>
    <w:rsid w:val="005906C5"/>
    <w:rsid w:val="00590CD7"/>
    <w:rsid w:val="005925BC"/>
    <w:rsid w:val="005A060D"/>
    <w:rsid w:val="005A1226"/>
    <w:rsid w:val="005A4FD2"/>
    <w:rsid w:val="005A59FE"/>
    <w:rsid w:val="005B25FA"/>
    <w:rsid w:val="005B2787"/>
    <w:rsid w:val="005B6D2F"/>
    <w:rsid w:val="005B7615"/>
    <w:rsid w:val="005C2921"/>
    <w:rsid w:val="005C292B"/>
    <w:rsid w:val="005C29CB"/>
    <w:rsid w:val="005C3467"/>
    <w:rsid w:val="005C537B"/>
    <w:rsid w:val="005C7281"/>
    <w:rsid w:val="005D0601"/>
    <w:rsid w:val="005D2B32"/>
    <w:rsid w:val="005D3833"/>
    <w:rsid w:val="005D4059"/>
    <w:rsid w:val="005E328A"/>
    <w:rsid w:val="005E79DD"/>
    <w:rsid w:val="005E7A4A"/>
    <w:rsid w:val="005F2650"/>
    <w:rsid w:val="005F49A3"/>
    <w:rsid w:val="005F66B8"/>
    <w:rsid w:val="005F6DF0"/>
    <w:rsid w:val="006001F5"/>
    <w:rsid w:val="00604F3A"/>
    <w:rsid w:val="0060647E"/>
    <w:rsid w:val="00606E6C"/>
    <w:rsid w:val="00611FD0"/>
    <w:rsid w:val="00611FFC"/>
    <w:rsid w:val="006155A4"/>
    <w:rsid w:val="0061597A"/>
    <w:rsid w:val="006160C9"/>
    <w:rsid w:val="00621D27"/>
    <w:rsid w:val="00621FDB"/>
    <w:rsid w:val="00622683"/>
    <w:rsid w:val="00622CDA"/>
    <w:rsid w:val="006241B8"/>
    <w:rsid w:val="00624271"/>
    <w:rsid w:val="006245E1"/>
    <w:rsid w:val="00624679"/>
    <w:rsid w:val="00625898"/>
    <w:rsid w:val="00633BCB"/>
    <w:rsid w:val="006353CE"/>
    <w:rsid w:val="00641B8F"/>
    <w:rsid w:val="0064298F"/>
    <w:rsid w:val="006437B5"/>
    <w:rsid w:val="00644A35"/>
    <w:rsid w:val="00645B8C"/>
    <w:rsid w:val="0064780B"/>
    <w:rsid w:val="006478FF"/>
    <w:rsid w:val="00650072"/>
    <w:rsid w:val="00651BE2"/>
    <w:rsid w:val="00654097"/>
    <w:rsid w:val="006555D5"/>
    <w:rsid w:val="00655EDE"/>
    <w:rsid w:val="006569AC"/>
    <w:rsid w:val="00657A82"/>
    <w:rsid w:val="00661FFE"/>
    <w:rsid w:val="00662B5D"/>
    <w:rsid w:val="0066329F"/>
    <w:rsid w:val="00664D79"/>
    <w:rsid w:val="00665206"/>
    <w:rsid w:val="00665B17"/>
    <w:rsid w:val="00670D0B"/>
    <w:rsid w:val="0067498D"/>
    <w:rsid w:val="00675A85"/>
    <w:rsid w:val="00680A2A"/>
    <w:rsid w:val="00680B37"/>
    <w:rsid w:val="006872FA"/>
    <w:rsid w:val="00690A54"/>
    <w:rsid w:val="00691167"/>
    <w:rsid w:val="006919C2"/>
    <w:rsid w:val="006944A8"/>
    <w:rsid w:val="006947F2"/>
    <w:rsid w:val="006A1054"/>
    <w:rsid w:val="006A1D71"/>
    <w:rsid w:val="006A39F1"/>
    <w:rsid w:val="006A71CA"/>
    <w:rsid w:val="006B0EF6"/>
    <w:rsid w:val="006B12B1"/>
    <w:rsid w:val="006B4888"/>
    <w:rsid w:val="006B4ECE"/>
    <w:rsid w:val="006C2FC6"/>
    <w:rsid w:val="006C4BC7"/>
    <w:rsid w:val="006C4C8C"/>
    <w:rsid w:val="006C5B4A"/>
    <w:rsid w:val="006C6A68"/>
    <w:rsid w:val="006C73F4"/>
    <w:rsid w:val="006D0171"/>
    <w:rsid w:val="006D48DE"/>
    <w:rsid w:val="006D5563"/>
    <w:rsid w:val="006D617E"/>
    <w:rsid w:val="006D6BF9"/>
    <w:rsid w:val="006E3FD0"/>
    <w:rsid w:val="006E436E"/>
    <w:rsid w:val="006E4874"/>
    <w:rsid w:val="006F0014"/>
    <w:rsid w:val="006F3860"/>
    <w:rsid w:val="006F5882"/>
    <w:rsid w:val="00701C28"/>
    <w:rsid w:val="00702E0A"/>
    <w:rsid w:val="007063AE"/>
    <w:rsid w:val="007136D5"/>
    <w:rsid w:val="00713EB1"/>
    <w:rsid w:val="0071724B"/>
    <w:rsid w:val="00727FC0"/>
    <w:rsid w:val="00737F3D"/>
    <w:rsid w:val="00741A24"/>
    <w:rsid w:val="00744179"/>
    <w:rsid w:val="00744FC9"/>
    <w:rsid w:val="007477EB"/>
    <w:rsid w:val="00747BC7"/>
    <w:rsid w:val="00747C1C"/>
    <w:rsid w:val="0075107E"/>
    <w:rsid w:val="00752A89"/>
    <w:rsid w:val="00753006"/>
    <w:rsid w:val="00753B69"/>
    <w:rsid w:val="00755451"/>
    <w:rsid w:val="0075582D"/>
    <w:rsid w:val="00756100"/>
    <w:rsid w:val="00757041"/>
    <w:rsid w:val="007600AD"/>
    <w:rsid w:val="007643E5"/>
    <w:rsid w:val="00764F5E"/>
    <w:rsid w:val="007650DB"/>
    <w:rsid w:val="00765C7B"/>
    <w:rsid w:val="0077551B"/>
    <w:rsid w:val="0077670B"/>
    <w:rsid w:val="00776AFF"/>
    <w:rsid w:val="00776BC2"/>
    <w:rsid w:val="00780AA4"/>
    <w:rsid w:val="00781917"/>
    <w:rsid w:val="00781B21"/>
    <w:rsid w:val="007923F3"/>
    <w:rsid w:val="00793169"/>
    <w:rsid w:val="007964D8"/>
    <w:rsid w:val="00797200"/>
    <w:rsid w:val="00797F01"/>
    <w:rsid w:val="007A0502"/>
    <w:rsid w:val="007A1BAA"/>
    <w:rsid w:val="007A2013"/>
    <w:rsid w:val="007A4A3E"/>
    <w:rsid w:val="007A6801"/>
    <w:rsid w:val="007A7ADB"/>
    <w:rsid w:val="007B0696"/>
    <w:rsid w:val="007B4279"/>
    <w:rsid w:val="007B5983"/>
    <w:rsid w:val="007C12A1"/>
    <w:rsid w:val="007C2B46"/>
    <w:rsid w:val="007C5307"/>
    <w:rsid w:val="007C614F"/>
    <w:rsid w:val="007C71A9"/>
    <w:rsid w:val="007C7799"/>
    <w:rsid w:val="007D0101"/>
    <w:rsid w:val="007D6F9C"/>
    <w:rsid w:val="007D7E78"/>
    <w:rsid w:val="007E3483"/>
    <w:rsid w:val="007E5449"/>
    <w:rsid w:val="007E68A3"/>
    <w:rsid w:val="007E6CEB"/>
    <w:rsid w:val="007E72DC"/>
    <w:rsid w:val="007F10C5"/>
    <w:rsid w:val="007F23DC"/>
    <w:rsid w:val="007F4998"/>
    <w:rsid w:val="007F60E7"/>
    <w:rsid w:val="007F72AC"/>
    <w:rsid w:val="007F7C14"/>
    <w:rsid w:val="00800F4F"/>
    <w:rsid w:val="008018D3"/>
    <w:rsid w:val="008020D1"/>
    <w:rsid w:val="00805B72"/>
    <w:rsid w:val="008121D3"/>
    <w:rsid w:val="00816B11"/>
    <w:rsid w:val="008172F0"/>
    <w:rsid w:val="00817DE8"/>
    <w:rsid w:val="00822B66"/>
    <w:rsid w:val="00823141"/>
    <w:rsid w:val="00824378"/>
    <w:rsid w:val="0082483C"/>
    <w:rsid w:val="00825552"/>
    <w:rsid w:val="00827326"/>
    <w:rsid w:val="0082732C"/>
    <w:rsid w:val="0082782D"/>
    <w:rsid w:val="008309DD"/>
    <w:rsid w:val="00830A97"/>
    <w:rsid w:val="00830D59"/>
    <w:rsid w:val="00835A5F"/>
    <w:rsid w:val="0084424D"/>
    <w:rsid w:val="00844DE7"/>
    <w:rsid w:val="0085124D"/>
    <w:rsid w:val="00851394"/>
    <w:rsid w:val="00852945"/>
    <w:rsid w:val="00852963"/>
    <w:rsid w:val="00853518"/>
    <w:rsid w:val="00853F4A"/>
    <w:rsid w:val="008553C3"/>
    <w:rsid w:val="00855ECE"/>
    <w:rsid w:val="00856342"/>
    <w:rsid w:val="00863216"/>
    <w:rsid w:val="00864655"/>
    <w:rsid w:val="00864A85"/>
    <w:rsid w:val="0086668C"/>
    <w:rsid w:val="008708BC"/>
    <w:rsid w:val="00871098"/>
    <w:rsid w:val="00873044"/>
    <w:rsid w:val="00876B78"/>
    <w:rsid w:val="00876F14"/>
    <w:rsid w:val="0088113A"/>
    <w:rsid w:val="00881E21"/>
    <w:rsid w:val="0088212B"/>
    <w:rsid w:val="008823F4"/>
    <w:rsid w:val="00882A12"/>
    <w:rsid w:val="0088372F"/>
    <w:rsid w:val="00883A0A"/>
    <w:rsid w:val="00887186"/>
    <w:rsid w:val="008904B2"/>
    <w:rsid w:val="0089541B"/>
    <w:rsid w:val="008955ED"/>
    <w:rsid w:val="00895A71"/>
    <w:rsid w:val="008A02BA"/>
    <w:rsid w:val="008A0842"/>
    <w:rsid w:val="008A16B4"/>
    <w:rsid w:val="008A22C7"/>
    <w:rsid w:val="008A2893"/>
    <w:rsid w:val="008A5F87"/>
    <w:rsid w:val="008B0519"/>
    <w:rsid w:val="008B06DB"/>
    <w:rsid w:val="008B3004"/>
    <w:rsid w:val="008B4A43"/>
    <w:rsid w:val="008C01D3"/>
    <w:rsid w:val="008C28ED"/>
    <w:rsid w:val="008C3623"/>
    <w:rsid w:val="008C4BAC"/>
    <w:rsid w:val="008C541B"/>
    <w:rsid w:val="008D0CDE"/>
    <w:rsid w:val="008D2E1A"/>
    <w:rsid w:val="008D376E"/>
    <w:rsid w:val="008D5999"/>
    <w:rsid w:val="008D700E"/>
    <w:rsid w:val="008E002D"/>
    <w:rsid w:val="008E2867"/>
    <w:rsid w:val="008E493B"/>
    <w:rsid w:val="008E58CE"/>
    <w:rsid w:val="008E7825"/>
    <w:rsid w:val="008E7A8A"/>
    <w:rsid w:val="008F11DC"/>
    <w:rsid w:val="008F6C65"/>
    <w:rsid w:val="00902621"/>
    <w:rsid w:val="00902792"/>
    <w:rsid w:val="009027DD"/>
    <w:rsid w:val="009038E9"/>
    <w:rsid w:val="00910673"/>
    <w:rsid w:val="00914621"/>
    <w:rsid w:val="009148FA"/>
    <w:rsid w:val="009154F4"/>
    <w:rsid w:val="00917BA5"/>
    <w:rsid w:val="00917E3E"/>
    <w:rsid w:val="00921AC8"/>
    <w:rsid w:val="00924540"/>
    <w:rsid w:val="00924B3C"/>
    <w:rsid w:val="00925B8C"/>
    <w:rsid w:val="00931A75"/>
    <w:rsid w:val="00932873"/>
    <w:rsid w:val="0093437F"/>
    <w:rsid w:val="00935FF7"/>
    <w:rsid w:val="00941251"/>
    <w:rsid w:val="00943D71"/>
    <w:rsid w:val="009453FF"/>
    <w:rsid w:val="0095154D"/>
    <w:rsid w:val="009551B1"/>
    <w:rsid w:val="00961F5D"/>
    <w:rsid w:val="009629EC"/>
    <w:rsid w:val="00965A61"/>
    <w:rsid w:val="00967A13"/>
    <w:rsid w:val="00971148"/>
    <w:rsid w:val="0097269D"/>
    <w:rsid w:val="00973882"/>
    <w:rsid w:val="009746A7"/>
    <w:rsid w:val="009766EB"/>
    <w:rsid w:val="00980A37"/>
    <w:rsid w:val="00982688"/>
    <w:rsid w:val="00983BAB"/>
    <w:rsid w:val="009855C8"/>
    <w:rsid w:val="00986124"/>
    <w:rsid w:val="00991054"/>
    <w:rsid w:val="009918E6"/>
    <w:rsid w:val="00993251"/>
    <w:rsid w:val="00993926"/>
    <w:rsid w:val="0099550E"/>
    <w:rsid w:val="009A1A38"/>
    <w:rsid w:val="009A3C9D"/>
    <w:rsid w:val="009B28A4"/>
    <w:rsid w:val="009B4C02"/>
    <w:rsid w:val="009C0902"/>
    <w:rsid w:val="009C0E39"/>
    <w:rsid w:val="009C288F"/>
    <w:rsid w:val="009C3DE9"/>
    <w:rsid w:val="009C429F"/>
    <w:rsid w:val="009D0B70"/>
    <w:rsid w:val="009D1E34"/>
    <w:rsid w:val="009D60B4"/>
    <w:rsid w:val="009D67D8"/>
    <w:rsid w:val="009E0075"/>
    <w:rsid w:val="009E11C5"/>
    <w:rsid w:val="009E14BC"/>
    <w:rsid w:val="009E1A72"/>
    <w:rsid w:val="009E48A6"/>
    <w:rsid w:val="009E48EB"/>
    <w:rsid w:val="009E538B"/>
    <w:rsid w:val="009E6626"/>
    <w:rsid w:val="009E6C83"/>
    <w:rsid w:val="009F259A"/>
    <w:rsid w:val="00A01891"/>
    <w:rsid w:val="00A01932"/>
    <w:rsid w:val="00A01C1A"/>
    <w:rsid w:val="00A01C66"/>
    <w:rsid w:val="00A069A1"/>
    <w:rsid w:val="00A10ED5"/>
    <w:rsid w:val="00A11045"/>
    <w:rsid w:val="00A1194F"/>
    <w:rsid w:val="00A14127"/>
    <w:rsid w:val="00A16EE4"/>
    <w:rsid w:val="00A1743F"/>
    <w:rsid w:val="00A17BCA"/>
    <w:rsid w:val="00A17BF6"/>
    <w:rsid w:val="00A209BE"/>
    <w:rsid w:val="00A20B25"/>
    <w:rsid w:val="00A2124B"/>
    <w:rsid w:val="00A236D0"/>
    <w:rsid w:val="00A26CF8"/>
    <w:rsid w:val="00A27374"/>
    <w:rsid w:val="00A33F7F"/>
    <w:rsid w:val="00A373E6"/>
    <w:rsid w:val="00A37537"/>
    <w:rsid w:val="00A46CC0"/>
    <w:rsid w:val="00A5099F"/>
    <w:rsid w:val="00A51682"/>
    <w:rsid w:val="00A51696"/>
    <w:rsid w:val="00A52ABC"/>
    <w:rsid w:val="00A53CE2"/>
    <w:rsid w:val="00A56703"/>
    <w:rsid w:val="00A609BF"/>
    <w:rsid w:val="00A61ECB"/>
    <w:rsid w:val="00A64BE7"/>
    <w:rsid w:val="00A6562F"/>
    <w:rsid w:val="00A6686A"/>
    <w:rsid w:val="00A7194B"/>
    <w:rsid w:val="00A71970"/>
    <w:rsid w:val="00A72D2F"/>
    <w:rsid w:val="00A73DA9"/>
    <w:rsid w:val="00A74530"/>
    <w:rsid w:val="00A75F86"/>
    <w:rsid w:val="00A80ACC"/>
    <w:rsid w:val="00A81739"/>
    <w:rsid w:val="00A828F9"/>
    <w:rsid w:val="00A83C02"/>
    <w:rsid w:val="00A84766"/>
    <w:rsid w:val="00A86613"/>
    <w:rsid w:val="00A90207"/>
    <w:rsid w:val="00A90E0D"/>
    <w:rsid w:val="00A91AD8"/>
    <w:rsid w:val="00A91C48"/>
    <w:rsid w:val="00A91E14"/>
    <w:rsid w:val="00A93EDD"/>
    <w:rsid w:val="00A94048"/>
    <w:rsid w:val="00A9502B"/>
    <w:rsid w:val="00A95DB3"/>
    <w:rsid w:val="00AA0383"/>
    <w:rsid w:val="00AA1CDA"/>
    <w:rsid w:val="00AA4850"/>
    <w:rsid w:val="00AA63D8"/>
    <w:rsid w:val="00AA6897"/>
    <w:rsid w:val="00AA74D1"/>
    <w:rsid w:val="00AB0122"/>
    <w:rsid w:val="00AB1395"/>
    <w:rsid w:val="00AB17AC"/>
    <w:rsid w:val="00AB25F7"/>
    <w:rsid w:val="00AB2F40"/>
    <w:rsid w:val="00AB325A"/>
    <w:rsid w:val="00AB4571"/>
    <w:rsid w:val="00AC1C41"/>
    <w:rsid w:val="00AC2205"/>
    <w:rsid w:val="00AC51DE"/>
    <w:rsid w:val="00AC589C"/>
    <w:rsid w:val="00AC78BD"/>
    <w:rsid w:val="00AD50FA"/>
    <w:rsid w:val="00AD64AD"/>
    <w:rsid w:val="00AE0E8E"/>
    <w:rsid w:val="00AE2957"/>
    <w:rsid w:val="00AE29ED"/>
    <w:rsid w:val="00AE3060"/>
    <w:rsid w:val="00AE322A"/>
    <w:rsid w:val="00AE550A"/>
    <w:rsid w:val="00AE5F6D"/>
    <w:rsid w:val="00AE73E4"/>
    <w:rsid w:val="00B00C19"/>
    <w:rsid w:val="00B016D3"/>
    <w:rsid w:val="00B0281E"/>
    <w:rsid w:val="00B03EBF"/>
    <w:rsid w:val="00B04693"/>
    <w:rsid w:val="00B0670D"/>
    <w:rsid w:val="00B06B1A"/>
    <w:rsid w:val="00B07A2A"/>
    <w:rsid w:val="00B14C6C"/>
    <w:rsid w:val="00B15794"/>
    <w:rsid w:val="00B17B9C"/>
    <w:rsid w:val="00B2286C"/>
    <w:rsid w:val="00B23872"/>
    <w:rsid w:val="00B251AB"/>
    <w:rsid w:val="00B25ED5"/>
    <w:rsid w:val="00B27B99"/>
    <w:rsid w:val="00B33626"/>
    <w:rsid w:val="00B34ADE"/>
    <w:rsid w:val="00B40021"/>
    <w:rsid w:val="00B40AE6"/>
    <w:rsid w:val="00B449FE"/>
    <w:rsid w:val="00B46378"/>
    <w:rsid w:val="00B52452"/>
    <w:rsid w:val="00B55DEA"/>
    <w:rsid w:val="00B56443"/>
    <w:rsid w:val="00B57473"/>
    <w:rsid w:val="00B5751B"/>
    <w:rsid w:val="00B57F4F"/>
    <w:rsid w:val="00B60678"/>
    <w:rsid w:val="00B60B0F"/>
    <w:rsid w:val="00B60CBB"/>
    <w:rsid w:val="00B62F07"/>
    <w:rsid w:val="00B636A0"/>
    <w:rsid w:val="00B64089"/>
    <w:rsid w:val="00B646C0"/>
    <w:rsid w:val="00B66B7C"/>
    <w:rsid w:val="00B738B4"/>
    <w:rsid w:val="00B74E8F"/>
    <w:rsid w:val="00B77BCF"/>
    <w:rsid w:val="00B82654"/>
    <w:rsid w:val="00B85E0F"/>
    <w:rsid w:val="00B91BBA"/>
    <w:rsid w:val="00B9441F"/>
    <w:rsid w:val="00B95366"/>
    <w:rsid w:val="00B96E05"/>
    <w:rsid w:val="00B976A7"/>
    <w:rsid w:val="00BA48C2"/>
    <w:rsid w:val="00BA4D20"/>
    <w:rsid w:val="00BA5BB4"/>
    <w:rsid w:val="00BA6CAA"/>
    <w:rsid w:val="00BA6F33"/>
    <w:rsid w:val="00BA701E"/>
    <w:rsid w:val="00BB0F40"/>
    <w:rsid w:val="00BB3E5F"/>
    <w:rsid w:val="00BB4250"/>
    <w:rsid w:val="00BB4439"/>
    <w:rsid w:val="00BB531B"/>
    <w:rsid w:val="00BB551D"/>
    <w:rsid w:val="00BB7F6F"/>
    <w:rsid w:val="00BC0DF8"/>
    <w:rsid w:val="00BD09E2"/>
    <w:rsid w:val="00BD57E3"/>
    <w:rsid w:val="00BD5EAF"/>
    <w:rsid w:val="00BE17EC"/>
    <w:rsid w:val="00BE233F"/>
    <w:rsid w:val="00BE2542"/>
    <w:rsid w:val="00BE4965"/>
    <w:rsid w:val="00BF2DC6"/>
    <w:rsid w:val="00BF4994"/>
    <w:rsid w:val="00BF60F4"/>
    <w:rsid w:val="00BF6B05"/>
    <w:rsid w:val="00C0263C"/>
    <w:rsid w:val="00C05686"/>
    <w:rsid w:val="00C10134"/>
    <w:rsid w:val="00C11ACB"/>
    <w:rsid w:val="00C16B87"/>
    <w:rsid w:val="00C16C12"/>
    <w:rsid w:val="00C17420"/>
    <w:rsid w:val="00C201A0"/>
    <w:rsid w:val="00C21516"/>
    <w:rsid w:val="00C22579"/>
    <w:rsid w:val="00C22EDA"/>
    <w:rsid w:val="00C230BA"/>
    <w:rsid w:val="00C2361D"/>
    <w:rsid w:val="00C24355"/>
    <w:rsid w:val="00C26547"/>
    <w:rsid w:val="00C26A91"/>
    <w:rsid w:val="00C27003"/>
    <w:rsid w:val="00C27A56"/>
    <w:rsid w:val="00C32B14"/>
    <w:rsid w:val="00C333B2"/>
    <w:rsid w:val="00C336A2"/>
    <w:rsid w:val="00C345C8"/>
    <w:rsid w:val="00C3505E"/>
    <w:rsid w:val="00C401D6"/>
    <w:rsid w:val="00C408FC"/>
    <w:rsid w:val="00C40B78"/>
    <w:rsid w:val="00C42E4C"/>
    <w:rsid w:val="00C449F7"/>
    <w:rsid w:val="00C4671B"/>
    <w:rsid w:val="00C53837"/>
    <w:rsid w:val="00C545C7"/>
    <w:rsid w:val="00C56288"/>
    <w:rsid w:val="00C56594"/>
    <w:rsid w:val="00C60304"/>
    <w:rsid w:val="00C607EF"/>
    <w:rsid w:val="00C6194A"/>
    <w:rsid w:val="00C6282D"/>
    <w:rsid w:val="00C63EB1"/>
    <w:rsid w:val="00C66298"/>
    <w:rsid w:val="00C6649F"/>
    <w:rsid w:val="00C7238B"/>
    <w:rsid w:val="00C7495C"/>
    <w:rsid w:val="00C76FDB"/>
    <w:rsid w:val="00C77414"/>
    <w:rsid w:val="00C778B8"/>
    <w:rsid w:val="00C804D0"/>
    <w:rsid w:val="00C8139E"/>
    <w:rsid w:val="00C846FC"/>
    <w:rsid w:val="00C869A1"/>
    <w:rsid w:val="00C91680"/>
    <w:rsid w:val="00C92839"/>
    <w:rsid w:val="00C93CE3"/>
    <w:rsid w:val="00C96CA4"/>
    <w:rsid w:val="00CA0828"/>
    <w:rsid w:val="00CA2977"/>
    <w:rsid w:val="00CA3DA7"/>
    <w:rsid w:val="00CA6D22"/>
    <w:rsid w:val="00CA6F1F"/>
    <w:rsid w:val="00CB7E35"/>
    <w:rsid w:val="00CC1ADD"/>
    <w:rsid w:val="00CC23D8"/>
    <w:rsid w:val="00CC6B94"/>
    <w:rsid w:val="00CC7633"/>
    <w:rsid w:val="00CC7949"/>
    <w:rsid w:val="00CD0F33"/>
    <w:rsid w:val="00CD25E2"/>
    <w:rsid w:val="00CD36CC"/>
    <w:rsid w:val="00CD3CE7"/>
    <w:rsid w:val="00CD4E6E"/>
    <w:rsid w:val="00CE04EC"/>
    <w:rsid w:val="00CE1420"/>
    <w:rsid w:val="00CE2023"/>
    <w:rsid w:val="00CE2BB0"/>
    <w:rsid w:val="00CE34BF"/>
    <w:rsid w:val="00CE481B"/>
    <w:rsid w:val="00CF20C4"/>
    <w:rsid w:val="00CF3C89"/>
    <w:rsid w:val="00CF4774"/>
    <w:rsid w:val="00D005D6"/>
    <w:rsid w:val="00D04EE8"/>
    <w:rsid w:val="00D11D51"/>
    <w:rsid w:val="00D14276"/>
    <w:rsid w:val="00D154C9"/>
    <w:rsid w:val="00D155BC"/>
    <w:rsid w:val="00D161B0"/>
    <w:rsid w:val="00D167D0"/>
    <w:rsid w:val="00D172FA"/>
    <w:rsid w:val="00D17C0F"/>
    <w:rsid w:val="00D17F57"/>
    <w:rsid w:val="00D20E51"/>
    <w:rsid w:val="00D2243E"/>
    <w:rsid w:val="00D228BC"/>
    <w:rsid w:val="00D23DD2"/>
    <w:rsid w:val="00D24130"/>
    <w:rsid w:val="00D25889"/>
    <w:rsid w:val="00D26197"/>
    <w:rsid w:val="00D27346"/>
    <w:rsid w:val="00D27572"/>
    <w:rsid w:val="00D3090E"/>
    <w:rsid w:val="00D31EC9"/>
    <w:rsid w:val="00D37E61"/>
    <w:rsid w:val="00D412D5"/>
    <w:rsid w:val="00D41D10"/>
    <w:rsid w:val="00D42466"/>
    <w:rsid w:val="00D4342D"/>
    <w:rsid w:val="00D440DB"/>
    <w:rsid w:val="00D4586A"/>
    <w:rsid w:val="00D45896"/>
    <w:rsid w:val="00D45BF4"/>
    <w:rsid w:val="00D46EE3"/>
    <w:rsid w:val="00D47021"/>
    <w:rsid w:val="00D47399"/>
    <w:rsid w:val="00D55D7C"/>
    <w:rsid w:val="00D56DB4"/>
    <w:rsid w:val="00D62305"/>
    <w:rsid w:val="00D64AA0"/>
    <w:rsid w:val="00D65BB8"/>
    <w:rsid w:val="00D7109B"/>
    <w:rsid w:val="00D72BBD"/>
    <w:rsid w:val="00D73277"/>
    <w:rsid w:val="00D77F3D"/>
    <w:rsid w:val="00D809D9"/>
    <w:rsid w:val="00D82048"/>
    <w:rsid w:val="00D828BC"/>
    <w:rsid w:val="00D86784"/>
    <w:rsid w:val="00D86FD4"/>
    <w:rsid w:val="00D92338"/>
    <w:rsid w:val="00D959DE"/>
    <w:rsid w:val="00D95EE3"/>
    <w:rsid w:val="00DA09CC"/>
    <w:rsid w:val="00DA2C30"/>
    <w:rsid w:val="00DA37F6"/>
    <w:rsid w:val="00DA49A5"/>
    <w:rsid w:val="00DA55DE"/>
    <w:rsid w:val="00DA6915"/>
    <w:rsid w:val="00DB1B52"/>
    <w:rsid w:val="00DB2105"/>
    <w:rsid w:val="00DB2CB9"/>
    <w:rsid w:val="00DB3608"/>
    <w:rsid w:val="00DB5AF0"/>
    <w:rsid w:val="00DB5E2B"/>
    <w:rsid w:val="00DB7CC2"/>
    <w:rsid w:val="00DC0C89"/>
    <w:rsid w:val="00DC2C00"/>
    <w:rsid w:val="00DC319A"/>
    <w:rsid w:val="00DC50E9"/>
    <w:rsid w:val="00DC5923"/>
    <w:rsid w:val="00DC6826"/>
    <w:rsid w:val="00DC6879"/>
    <w:rsid w:val="00DD0C54"/>
    <w:rsid w:val="00DD0D96"/>
    <w:rsid w:val="00DD161D"/>
    <w:rsid w:val="00DD5388"/>
    <w:rsid w:val="00DD5DBB"/>
    <w:rsid w:val="00DD6F9C"/>
    <w:rsid w:val="00DE68F6"/>
    <w:rsid w:val="00DF0A8A"/>
    <w:rsid w:val="00DF5CCB"/>
    <w:rsid w:val="00DF65C7"/>
    <w:rsid w:val="00DF7BF2"/>
    <w:rsid w:val="00E01B95"/>
    <w:rsid w:val="00E02761"/>
    <w:rsid w:val="00E0436E"/>
    <w:rsid w:val="00E06B38"/>
    <w:rsid w:val="00E10112"/>
    <w:rsid w:val="00E11191"/>
    <w:rsid w:val="00E1248F"/>
    <w:rsid w:val="00E13506"/>
    <w:rsid w:val="00E14306"/>
    <w:rsid w:val="00E14AD0"/>
    <w:rsid w:val="00E16C56"/>
    <w:rsid w:val="00E16CCF"/>
    <w:rsid w:val="00E226AB"/>
    <w:rsid w:val="00E22A0A"/>
    <w:rsid w:val="00E26532"/>
    <w:rsid w:val="00E27626"/>
    <w:rsid w:val="00E30246"/>
    <w:rsid w:val="00E3323E"/>
    <w:rsid w:val="00E3364B"/>
    <w:rsid w:val="00E3477F"/>
    <w:rsid w:val="00E34D13"/>
    <w:rsid w:val="00E35668"/>
    <w:rsid w:val="00E36C36"/>
    <w:rsid w:val="00E4223E"/>
    <w:rsid w:val="00E42B50"/>
    <w:rsid w:val="00E446B6"/>
    <w:rsid w:val="00E44D4A"/>
    <w:rsid w:val="00E4750B"/>
    <w:rsid w:val="00E528BB"/>
    <w:rsid w:val="00E54B6B"/>
    <w:rsid w:val="00E610DD"/>
    <w:rsid w:val="00E656C1"/>
    <w:rsid w:val="00E72EC4"/>
    <w:rsid w:val="00E7386E"/>
    <w:rsid w:val="00E75213"/>
    <w:rsid w:val="00E8047F"/>
    <w:rsid w:val="00E80BE5"/>
    <w:rsid w:val="00E9072C"/>
    <w:rsid w:val="00E9195C"/>
    <w:rsid w:val="00E923D8"/>
    <w:rsid w:val="00E950E6"/>
    <w:rsid w:val="00E952E4"/>
    <w:rsid w:val="00E9578B"/>
    <w:rsid w:val="00E96590"/>
    <w:rsid w:val="00EA1F33"/>
    <w:rsid w:val="00EA21EB"/>
    <w:rsid w:val="00EA28B1"/>
    <w:rsid w:val="00EA4678"/>
    <w:rsid w:val="00EA7AD8"/>
    <w:rsid w:val="00EB1165"/>
    <w:rsid w:val="00EB3101"/>
    <w:rsid w:val="00EB3148"/>
    <w:rsid w:val="00EB516A"/>
    <w:rsid w:val="00EB752F"/>
    <w:rsid w:val="00EC051E"/>
    <w:rsid w:val="00EC171D"/>
    <w:rsid w:val="00EC2DDF"/>
    <w:rsid w:val="00EC3529"/>
    <w:rsid w:val="00EC3D03"/>
    <w:rsid w:val="00EC3E0F"/>
    <w:rsid w:val="00EC45B7"/>
    <w:rsid w:val="00EC467E"/>
    <w:rsid w:val="00ED1346"/>
    <w:rsid w:val="00ED4F01"/>
    <w:rsid w:val="00ED50E5"/>
    <w:rsid w:val="00ED5213"/>
    <w:rsid w:val="00EE0C46"/>
    <w:rsid w:val="00EE0E0D"/>
    <w:rsid w:val="00EE0E6D"/>
    <w:rsid w:val="00EE3F83"/>
    <w:rsid w:val="00EE40E2"/>
    <w:rsid w:val="00EF0CC4"/>
    <w:rsid w:val="00EF3062"/>
    <w:rsid w:val="00EF4FF7"/>
    <w:rsid w:val="00EF72FF"/>
    <w:rsid w:val="00F005D1"/>
    <w:rsid w:val="00F02368"/>
    <w:rsid w:val="00F05329"/>
    <w:rsid w:val="00F066E1"/>
    <w:rsid w:val="00F1138C"/>
    <w:rsid w:val="00F11AE3"/>
    <w:rsid w:val="00F12914"/>
    <w:rsid w:val="00F137C8"/>
    <w:rsid w:val="00F153CF"/>
    <w:rsid w:val="00F165B1"/>
    <w:rsid w:val="00F17719"/>
    <w:rsid w:val="00F212F0"/>
    <w:rsid w:val="00F22D09"/>
    <w:rsid w:val="00F2455A"/>
    <w:rsid w:val="00F25186"/>
    <w:rsid w:val="00F2559E"/>
    <w:rsid w:val="00F32373"/>
    <w:rsid w:val="00F32EA1"/>
    <w:rsid w:val="00F33D44"/>
    <w:rsid w:val="00F4102B"/>
    <w:rsid w:val="00F44CDC"/>
    <w:rsid w:val="00F46B48"/>
    <w:rsid w:val="00F46C52"/>
    <w:rsid w:val="00F50CB9"/>
    <w:rsid w:val="00F525B5"/>
    <w:rsid w:val="00F526A5"/>
    <w:rsid w:val="00F53E4A"/>
    <w:rsid w:val="00F546CB"/>
    <w:rsid w:val="00F559A5"/>
    <w:rsid w:val="00F55B7B"/>
    <w:rsid w:val="00F55DA7"/>
    <w:rsid w:val="00F57C17"/>
    <w:rsid w:val="00F6076E"/>
    <w:rsid w:val="00F61BE3"/>
    <w:rsid w:val="00F62F2A"/>
    <w:rsid w:val="00F62FCB"/>
    <w:rsid w:val="00F63742"/>
    <w:rsid w:val="00F664D0"/>
    <w:rsid w:val="00F720B0"/>
    <w:rsid w:val="00F77691"/>
    <w:rsid w:val="00F80052"/>
    <w:rsid w:val="00F80E44"/>
    <w:rsid w:val="00F81536"/>
    <w:rsid w:val="00F82270"/>
    <w:rsid w:val="00F8303A"/>
    <w:rsid w:val="00F84FA4"/>
    <w:rsid w:val="00F872AD"/>
    <w:rsid w:val="00F907B1"/>
    <w:rsid w:val="00F927F2"/>
    <w:rsid w:val="00F968C6"/>
    <w:rsid w:val="00FB0E08"/>
    <w:rsid w:val="00FB18CE"/>
    <w:rsid w:val="00FB39B2"/>
    <w:rsid w:val="00FB532E"/>
    <w:rsid w:val="00FC02AB"/>
    <w:rsid w:val="00FC330E"/>
    <w:rsid w:val="00FC341A"/>
    <w:rsid w:val="00FC4580"/>
    <w:rsid w:val="00FC57F8"/>
    <w:rsid w:val="00FC5969"/>
    <w:rsid w:val="00FC6263"/>
    <w:rsid w:val="00FC69E6"/>
    <w:rsid w:val="00FC762D"/>
    <w:rsid w:val="00FC7712"/>
    <w:rsid w:val="00FC7C51"/>
    <w:rsid w:val="00FD0A3A"/>
    <w:rsid w:val="00FD0AEB"/>
    <w:rsid w:val="00FD1DA0"/>
    <w:rsid w:val="00FD28F3"/>
    <w:rsid w:val="00FD77C0"/>
    <w:rsid w:val="00FD78F9"/>
    <w:rsid w:val="00FD7B94"/>
    <w:rsid w:val="00FD7BC4"/>
    <w:rsid w:val="00FE11A7"/>
    <w:rsid w:val="00FE31C1"/>
    <w:rsid w:val="00FE394F"/>
    <w:rsid w:val="00FE3CDB"/>
    <w:rsid w:val="00FE51D5"/>
    <w:rsid w:val="00FE7218"/>
    <w:rsid w:val="00FF1CCA"/>
    <w:rsid w:val="00FF2028"/>
    <w:rsid w:val="00FF36CE"/>
    <w:rsid w:val="00FF69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18250,#00683b,#a7ffd1,#e5fff1,#00c05b"/>
    </o:shapedefaults>
    <o:shapelayout v:ext="edit">
      <o:idmap v:ext="edit" data="1"/>
    </o:shapelayout>
  </w:shapeDefaults>
  <w:decimalSymbol w:val=","/>
  <w:listSeparator w:val=";"/>
  <w14:docId w14:val="1DDB202D"/>
  <w15:chartTrackingRefBased/>
  <w15:docId w15:val="{E1D0102F-E067-4952-9A7C-205678E0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NL" w:eastAsia="nl-NL" w:bidi="ar-SA"/>
      </w:rPr>
    </w:rPrDefault>
    <w:pPrDefault>
      <w:pPr>
        <w:spacing w:line="28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BB3E5F"/>
    <w:pPr>
      <w:jc w:val="both"/>
    </w:pPr>
    <w:rPr>
      <w:rFonts w:asciiTheme="minorHAnsi" w:hAnsiTheme="minorHAnsi" w:cstheme="minorHAnsi"/>
    </w:rPr>
  </w:style>
  <w:style w:type="paragraph" w:styleId="Kop1">
    <w:name w:val="heading 1"/>
    <w:basedOn w:val="Standaard"/>
    <w:next w:val="Standaard"/>
    <w:link w:val="Kop1Char"/>
    <w:autoRedefine/>
    <w:qFormat/>
    <w:rsid w:val="005C2921"/>
    <w:pPr>
      <w:pageBreakBefore/>
      <w:numPr>
        <w:numId w:val="45"/>
      </w:numPr>
      <w:spacing w:after="360"/>
      <w:ind w:left="567" w:hanging="567"/>
      <w:outlineLvl w:val="0"/>
    </w:pPr>
    <w:rPr>
      <w:rFonts w:cs="Arial"/>
      <w:b/>
      <w:bCs/>
      <w:color w:val="5E8C2C" w:themeColor="text2"/>
      <w:kern w:val="32"/>
      <w:sz w:val="40"/>
      <w:szCs w:val="32"/>
    </w:rPr>
  </w:style>
  <w:style w:type="paragraph" w:styleId="Kop2">
    <w:name w:val="heading 2"/>
    <w:basedOn w:val="Standaard"/>
    <w:next w:val="Standaard"/>
    <w:autoRedefine/>
    <w:qFormat/>
    <w:rsid w:val="00387DD3"/>
    <w:pPr>
      <w:numPr>
        <w:ilvl w:val="1"/>
        <w:numId w:val="45"/>
      </w:numPr>
      <w:spacing w:before="280" w:after="280"/>
      <w:outlineLvl w:val="1"/>
    </w:pPr>
    <w:rPr>
      <w:rFonts w:cs="Arial"/>
      <w:b/>
      <w:bCs/>
      <w:iCs/>
      <w:color w:val="5E8C2C" w:themeColor="text2"/>
      <w:sz w:val="28"/>
      <w:szCs w:val="28"/>
    </w:rPr>
  </w:style>
  <w:style w:type="paragraph" w:styleId="Kop3">
    <w:name w:val="heading 3"/>
    <w:basedOn w:val="Standaard"/>
    <w:next w:val="Standaard"/>
    <w:link w:val="Kop3Char"/>
    <w:autoRedefine/>
    <w:qFormat/>
    <w:rsid w:val="006B0EF6"/>
    <w:pPr>
      <w:outlineLvl w:val="2"/>
    </w:pPr>
    <w:rPr>
      <w:rFonts w:cs="Arial"/>
      <w:b/>
      <w:bCs/>
      <w:color w:val="55504D"/>
      <w:sz w:val="24"/>
      <w:szCs w:val="26"/>
    </w:rPr>
  </w:style>
  <w:style w:type="paragraph" w:styleId="Kop4">
    <w:name w:val="heading 4"/>
    <w:basedOn w:val="Kop3"/>
    <w:next w:val="Standaard"/>
    <w:autoRedefine/>
    <w:qFormat/>
    <w:rsid w:val="00D17F57"/>
    <w:pPr>
      <w:numPr>
        <w:ilvl w:val="3"/>
      </w:numPr>
      <w:outlineLvl w:val="3"/>
    </w:pPr>
    <w:rPr>
      <w:bCs w:val="0"/>
      <w:i/>
      <w:sz w:val="20"/>
      <w:szCs w:val="20"/>
    </w:rPr>
  </w:style>
  <w:style w:type="paragraph" w:styleId="Kop5">
    <w:name w:val="heading 5"/>
    <w:basedOn w:val="Standaard"/>
    <w:next w:val="Standaard"/>
    <w:link w:val="Kop5Char"/>
    <w:semiHidden/>
    <w:unhideWhenUsed/>
    <w:qFormat/>
    <w:rsid w:val="00387DD3"/>
    <w:pPr>
      <w:numPr>
        <w:ilvl w:val="4"/>
        <w:numId w:val="45"/>
      </w:numPr>
      <w:spacing w:before="200"/>
      <w:outlineLvl w:val="4"/>
    </w:pPr>
    <w:rPr>
      <w:rFonts w:asciiTheme="majorHAnsi" w:eastAsiaTheme="majorEastAsia" w:hAnsiTheme="majorHAnsi" w:cstheme="majorBidi"/>
      <w:color w:val="395B1B" w:themeColor="accent1" w:themeShade="7F"/>
    </w:rPr>
  </w:style>
  <w:style w:type="paragraph" w:styleId="Kop6">
    <w:name w:val="heading 6"/>
    <w:basedOn w:val="Standaard"/>
    <w:next w:val="Standaard"/>
    <w:link w:val="Kop6Char"/>
    <w:semiHidden/>
    <w:unhideWhenUsed/>
    <w:qFormat/>
    <w:rsid w:val="00387DD3"/>
    <w:pPr>
      <w:numPr>
        <w:ilvl w:val="5"/>
        <w:numId w:val="45"/>
      </w:numPr>
      <w:spacing w:before="200"/>
      <w:outlineLvl w:val="5"/>
    </w:pPr>
    <w:rPr>
      <w:rFonts w:asciiTheme="majorHAnsi" w:eastAsiaTheme="majorEastAsia" w:hAnsiTheme="majorHAnsi" w:cstheme="majorBidi"/>
      <w:i/>
      <w:iCs/>
      <w:color w:val="395B1B" w:themeColor="accent1" w:themeShade="7F"/>
    </w:rPr>
  </w:style>
  <w:style w:type="paragraph" w:styleId="Kop7">
    <w:name w:val="heading 7"/>
    <w:basedOn w:val="Standaard"/>
    <w:next w:val="Standaard"/>
    <w:link w:val="Kop7Char"/>
    <w:semiHidden/>
    <w:unhideWhenUsed/>
    <w:qFormat/>
    <w:rsid w:val="00387DD3"/>
    <w:pPr>
      <w:numPr>
        <w:ilvl w:val="6"/>
        <w:numId w:val="45"/>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387DD3"/>
    <w:pPr>
      <w:numPr>
        <w:ilvl w:val="7"/>
        <w:numId w:val="45"/>
      </w:numPr>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semiHidden/>
    <w:unhideWhenUsed/>
    <w:qFormat/>
    <w:rsid w:val="00387DD3"/>
    <w:pPr>
      <w:numPr>
        <w:ilvl w:val="8"/>
        <w:numId w:val="45"/>
      </w:numPr>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2A065C"/>
    <w:pPr>
      <w:spacing w:line="240" w:lineRule="exact"/>
      <w:jc w:val="both"/>
    </w:pPr>
    <w:rPr>
      <w:rFonts w:asciiTheme="minorHAnsi" w:hAnsiTheme="minorHAnsi"/>
      <w:sz w:val="16"/>
    </w:rPr>
    <w:tblPr>
      <w:tblBorders>
        <w:top w:val="single" w:sz="2" w:space="0" w:color="auto"/>
        <w:left w:val="single" w:sz="2" w:space="0" w:color="auto"/>
        <w:bottom w:val="single" w:sz="2" w:space="0" w:color="auto"/>
        <w:right w:val="single" w:sz="2" w:space="0" w:color="auto"/>
      </w:tblBorders>
    </w:tblPr>
    <w:tblStylePr w:type="firstRow">
      <w:tblPr/>
      <w:tcPr>
        <w:tcBorders>
          <w:bottom w:val="single" w:sz="2" w:space="0" w:color="auto"/>
        </w:tcBorders>
      </w:tcPr>
    </w:tblStylePr>
    <w:tblStylePr w:type="firstCol">
      <w:pPr>
        <w:jc w:val="left"/>
      </w:pPr>
      <w:rPr>
        <w:rFonts w:ascii="Helvetica" w:hAnsi="Helvetica"/>
        <w:sz w:val="16"/>
      </w:rPr>
      <w:tblPr/>
      <w:tcPr>
        <w:tcBorders>
          <w:right w:val="single" w:sz="2" w:space="0" w:color="auto"/>
        </w:tcBorders>
      </w:tcPr>
    </w:tblStylePr>
  </w:style>
  <w:style w:type="numbering" w:customStyle="1" w:styleId="Opsomming">
    <w:name w:val="Opsomming"/>
    <w:rsid w:val="00AC2205"/>
    <w:pPr>
      <w:numPr>
        <w:numId w:val="2"/>
      </w:numPr>
    </w:pPr>
  </w:style>
  <w:style w:type="paragraph" w:styleId="Bijschrift">
    <w:name w:val="caption"/>
    <w:basedOn w:val="Standaard"/>
    <w:next w:val="Standaard"/>
    <w:link w:val="BijschriftChar"/>
    <w:autoRedefine/>
    <w:qFormat/>
    <w:rsid w:val="002F3A6C"/>
    <w:pPr>
      <w:tabs>
        <w:tab w:val="left" w:pos="907"/>
      </w:tabs>
      <w:spacing w:line="240" w:lineRule="auto"/>
      <w:ind w:left="907" w:hanging="907"/>
    </w:pPr>
    <w:rPr>
      <w:bCs/>
      <w:i/>
      <w:sz w:val="16"/>
    </w:rPr>
  </w:style>
  <w:style w:type="paragraph" w:styleId="Voetnoottekst">
    <w:name w:val="footnote text"/>
    <w:basedOn w:val="Standaard"/>
    <w:link w:val="VoetnoottekstChar"/>
    <w:rsid w:val="002D20CC"/>
    <w:pPr>
      <w:spacing w:line="240" w:lineRule="auto"/>
      <w:ind w:left="125" w:hanging="125"/>
    </w:pPr>
    <w:rPr>
      <w:sz w:val="18"/>
    </w:rPr>
  </w:style>
  <w:style w:type="paragraph" w:styleId="Koptekst">
    <w:name w:val="header"/>
    <w:basedOn w:val="Standaard"/>
    <w:link w:val="KoptekstChar"/>
    <w:rsid w:val="00F165B1"/>
    <w:pPr>
      <w:tabs>
        <w:tab w:val="center" w:pos="4536"/>
        <w:tab w:val="right" w:pos="9072"/>
      </w:tabs>
    </w:pPr>
  </w:style>
  <w:style w:type="paragraph" w:styleId="Voettekst">
    <w:name w:val="footer"/>
    <w:basedOn w:val="Standaard"/>
    <w:rsid w:val="00F165B1"/>
    <w:pPr>
      <w:tabs>
        <w:tab w:val="center" w:pos="4536"/>
        <w:tab w:val="right" w:pos="9072"/>
      </w:tabs>
    </w:pPr>
  </w:style>
  <w:style w:type="paragraph" w:customStyle="1" w:styleId="RapportTitel">
    <w:name w:val="RapportTitel"/>
    <w:basedOn w:val="Standaard"/>
    <w:rsid w:val="008E7A8A"/>
    <w:pPr>
      <w:spacing w:line="240" w:lineRule="auto"/>
    </w:pPr>
    <w:rPr>
      <w:sz w:val="36"/>
    </w:rPr>
  </w:style>
  <w:style w:type="paragraph" w:customStyle="1" w:styleId="RapportTitelVet">
    <w:name w:val="RapportTitelVet"/>
    <w:basedOn w:val="Standaard"/>
    <w:rsid w:val="008E7A8A"/>
    <w:pPr>
      <w:spacing w:line="240" w:lineRule="auto"/>
    </w:pPr>
    <w:rPr>
      <w:b/>
      <w:sz w:val="36"/>
    </w:rPr>
  </w:style>
  <w:style w:type="paragraph" w:customStyle="1" w:styleId="Tussenkop">
    <w:name w:val="Tussenkop"/>
    <w:basedOn w:val="Standaard"/>
    <w:next w:val="Standaard"/>
    <w:rsid w:val="00931A75"/>
    <w:rPr>
      <w:b/>
    </w:rPr>
  </w:style>
  <w:style w:type="paragraph" w:customStyle="1" w:styleId="Bijlagekop">
    <w:name w:val="Bijlagekop"/>
    <w:basedOn w:val="Kop1"/>
    <w:next w:val="Standaard"/>
    <w:rsid w:val="0015415F"/>
    <w:pPr>
      <w:numPr>
        <w:numId w:val="0"/>
      </w:numPr>
    </w:pPr>
  </w:style>
  <w:style w:type="paragraph" w:styleId="Inhopg1">
    <w:name w:val="toc 1"/>
    <w:basedOn w:val="Standaard"/>
    <w:next w:val="Standaard"/>
    <w:autoRedefine/>
    <w:uiPriority w:val="39"/>
    <w:rsid w:val="00D154C9"/>
    <w:pPr>
      <w:tabs>
        <w:tab w:val="left" w:pos="369"/>
        <w:tab w:val="right" w:pos="7927"/>
      </w:tabs>
      <w:spacing w:before="140"/>
    </w:pPr>
    <w:rPr>
      <w:rFonts w:ascii="Calibri" w:hAnsi="Calibri"/>
      <w:b/>
      <w:noProof/>
      <w:color w:val="5E8C2C" w:themeColor="text2"/>
    </w:rPr>
  </w:style>
  <w:style w:type="paragraph" w:styleId="Inhopg2">
    <w:name w:val="toc 2"/>
    <w:basedOn w:val="Standaard"/>
    <w:next w:val="Standaard"/>
    <w:autoRedefine/>
    <w:uiPriority w:val="39"/>
    <w:rsid w:val="00982688"/>
    <w:pPr>
      <w:tabs>
        <w:tab w:val="left" w:pos="879"/>
        <w:tab w:val="right" w:pos="7927"/>
      </w:tabs>
      <w:ind w:left="369"/>
    </w:pPr>
  </w:style>
  <w:style w:type="character" w:customStyle="1" w:styleId="Kop3Char">
    <w:name w:val="Kop 3 Char"/>
    <w:link w:val="Kop3"/>
    <w:rsid w:val="006B0EF6"/>
    <w:rPr>
      <w:rFonts w:asciiTheme="minorHAnsi" w:hAnsiTheme="minorHAnsi" w:cs="Arial"/>
      <w:b/>
      <w:bCs/>
      <w:color w:val="55504D"/>
      <w:sz w:val="24"/>
      <w:szCs w:val="26"/>
    </w:rPr>
  </w:style>
  <w:style w:type="character" w:customStyle="1" w:styleId="BijschriftChar">
    <w:name w:val="Bijschrift Char"/>
    <w:link w:val="Bijschrift"/>
    <w:rsid w:val="002F3A6C"/>
    <w:rPr>
      <w:rFonts w:asciiTheme="minorHAnsi" w:hAnsiTheme="minorHAnsi" w:cstheme="minorHAnsi"/>
      <w:bCs/>
      <w:i/>
      <w:sz w:val="16"/>
    </w:rPr>
  </w:style>
  <w:style w:type="character" w:styleId="Verwijzingopmerking">
    <w:name w:val="annotation reference"/>
    <w:semiHidden/>
    <w:rsid w:val="0075582D"/>
    <w:rPr>
      <w:sz w:val="16"/>
      <w:szCs w:val="16"/>
    </w:rPr>
  </w:style>
  <w:style w:type="paragraph" w:styleId="Tekstopmerking">
    <w:name w:val="annotation text"/>
    <w:basedOn w:val="Standaard"/>
    <w:semiHidden/>
    <w:rsid w:val="0075582D"/>
  </w:style>
  <w:style w:type="paragraph" w:styleId="Onderwerpvanopmerking">
    <w:name w:val="annotation subject"/>
    <w:basedOn w:val="Tekstopmerking"/>
    <w:next w:val="Tekstopmerking"/>
    <w:semiHidden/>
    <w:rsid w:val="0075582D"/>
    <w:rPr>
      <w:b/>
      <w:bCs/>
    </w:rPr>
  </w:style>
  <w:style w:type="paragraph" w:styleId="Ballontekst">
    <w:name w:val="Balloon Text"/>
    <w:basedOn w:val="Standaard"/>
    <w:semiHidden/>
    <w:rsid w:val="0075582D"/>
    <w:rPr>
      <w:rFonts w:ascii="Tahoma" w:hAnsi="Tahoma" w:cs="Tahoma"/>
      <w:sz w:val="16"/>
      <w:szCs w:val="16"/>
    </w:rPr>
  </w:style>
  <w:style w:type="paragraph" w:styleId="Geenafstand">
    <w:name w:val="No Spacing"/>
    <w:link w:val="GeenafstandChar"/>
    <w:uiPriority w:val="1"/>
    <w:rsid w:val="00BF2DC6"/>
    <w:pPr>
      <w:spacing w:line="240" w:lineRule="auto"/>
    </w:pPr>
    <w:rPr>
      <w:rFonts w:asciiTheme="minorHAnsi" w:eastAsiaTheme="minorEastAsia" w:hAnsiTheme="minorHAnsi" w:cstheme="minorBidi"/>
      <w:sz w:val="22"/>
      <w:szCs w:val="22"/>
    </w:rPr>
  </w:style>
  <w:style w:type="numbering" w:styleId="111111">
    <w:name w:val="Outline List 2"/>
    <w:basedOn w:val="Geenlijst"/>
    <w:rsid w:val="00C6649F"/>
    <w:pPr>
      <w:numPr>
        <w:numId w:val="3"/>
      </w:numPr>
    </w:pPr>
  </w:style>
  <w:style w:type="character" w:customStyle="1" w:styleId="GeenafstandChar">
    <w:name w:val="Geen afstand Char"/>
    <w:basedOn w:val="Standaardalinea-lettertype"/>
    <w:link w:val="Geenafstand"/>
    <w:uiPriority w:val="1"/>
    <w:rsid w:val="00BF2DC6"/>
    <w:rPr>
      <w:rFonts w:asciiTheme="minorHAnsi" w:eastAsiaTheme="minorEastAsia" w:hAnsiTheme="minorHAnsi" w:cstheme="minorBidi"/>
      <w:sz w:val="22"/>
      <w:szCs w:val="22"/>
    </w:rPr>
  </w:style>
  <w:style w:type="character" w:styleId="Tekstvantijdelijkeaanduiding">
    <w:name w:val="Placeholder Text"/>
    <w:basedOn w:val="Standaardalinea-lettertype"/>
    <w:uiPriority w:val="99"/>
    <w:semiHidden/>
    <w:rsid w:val="00BF2DC6"/>
    <w:rPr>
      <w:color w:val="808080"/>
    </w:rPr>
  </w:style>
  <w:style w:type="character" w:customStyle="1" w:styleId="Kop1Char">
    <w:name w:val="Kop 1 Char"/>
    <w:basedOn w:val="Standaardalinea-lettertype"/>
    <w:link w:val="Kop1"/>
    <w:rsid w:val="005C2921"/>
    <w:rPr>
      <w:rFonts w:asciiTheme="minorHAnsi" w:hAnsiTheme="minorHAnsi" w:cs="Arial"/>
      <w:b/>
      <w:bCs/>
      <w:color w:val="5E8C2C" w:themeColor="text2"/>
      <w:kern w:val="32"/>
      <w:sz w:val="40"/>
      <w:szCs w:val="32"/>
    </w:rPr>
  </w:style>
  <w:style w:type="paragraph" w:styleId="Lijstalinea">
    <w:name w:val="List Paragraph"/>
    <w:basedOn w:val="Standaard"/>
    <w:uiPriority w:val="34"/>
    <w:rsid w:val="00824378"/>
    <w:pPr>
      <w:contextualSpacing/>
    </w:pPr>
  </w:style>
  <w:style w:type="character" w:customStyle="1" w:styleId="apple-converted-space">
    <w:name w:val="apple-converted-space"/>
    <w:basedOn w:val="Standaardalinea-lettertype"/>
    <w:rsid w:val="00752A89"/>
  </w:style>
  <w:style w:type="paragraph" w:customStyle="1" w:styleId="Bijlagenkop">
    <w:name w:val="Bijlagenkop"/>
    <w:basedOn w:val="Kop1"/>
    <w:next w:val="Standaard"/>
    <w:link w:val="BijlagenkopChar"/>
    <w:autoRedefine/>
    <w:qFormat/>
    <w:rsid w:val="00DB7CC2"/>
    <w:pPr>
      <w:numPr>
        <w:numId w:val="0"/>
      </w:numPr>
      <w:ind w:left="709" w:hanging="709"/>
    </w:pPr>
  </w:style>
  <w:style w:type="character" w:styleId="Intensievebenadrukking">
    <w:name w:val="Intense Emphasis"/>
    <w:basedOn w:val="Standaardalinea-lettertype"/>
    <w:uiPriority w:val="21"/>
    <w:qFormat/>
    <w:rsid w:val="00CF3C89"/>
    <w:rPr>
      <w:b/>
      <w:bCs/>
      <w:i/>
      <w:iCs/>
      <w:color w:val="auto"/>
    </w:rPr>
  </w:style>
  <w:style w:type="character" w:customStyle="1" w:styleId="BijlagenkopChar">
    <w:name w:val="Bijlagenkop Char"/>
    <w:basedOn w:val="Kop1Char"/>
    <w:link w:val="Bijlagenkop"/>
    <w:rsid w:val="00DB7CC2"/>
    <w:rPr>
      <w:rFonts w:asciiTheme="minorHAnsi" w:hAnsiTheme="minorHAnsi" w:cs="Arial"/>
      <w:b/>
      <w:bCs/>
      <w:color w:val="5E8C2C" w:themeColor="text2"/>
      <w:kern w:val="32"/>
      <w:sz w:val="40"/>
      <w:szCs w:val="32"/>
    </w:rPr>
  </w:style>
  <w:style w:type="paragraph" w:styleId="Titel">
    <w:name w:val="Title"/>
    <w:aliases w:val="Titel voorblad"/>
    <w:basedOn w:val="Geenafstand"/>
    <w:next w:val="Standaard"/>
    <w:link w:val="TitelChar"/>
    <w:autoRedefine/>
    <w:qFormat/>
    <w:rsid w:val="00F525B5"/>
    <w:pPr>
      <w:tabs>
        <w:tab w:val="left" w:pos="2954"/>
      </w:tabs>
    </w:pPr>
    <w:rPr>
      <w:rFonts w:ascii="Calibri" w:hAnsi="Calibri" w:cs="Calibri"/>
      <w:b/>
      <w:color w:val="484441" w:themeColor="accent3" w:themeShade="80"/>
      <w:sz w:val="48"/>
      <w:szCs w:val="40"/>
    </w:rPr>
  </w:style>
  <w:style w:type="character" w:customStyle="1" w:styleId="TitelChar">
    <w:name w:val="Titel Char"/>
    <w:aliases w:val="Titel voorblad Char"/>
    <w:basedOn w:val="Standaardalinea-lettertype"/>
    <w:link w:val="Titel"/>
    <w:rsid w:val="00F525B5"/>
    <w:rPr>
      <w:rFonts w:eastAsiaTheme="minorEastAsia" w:cs="Calibri"/>
      <w:b/>
      <w:color w:val="484441" w:themeColor="accent3" w:themeShade="80"/>
      <w:sz w:val="48"/>
      <w:szCs w:val="40"/>
    </w:rPr>
  </w:style>
  <w:style w:type="table" w:styleId="Eenvoudigetabel3">
    <w:name w:val="Table Simple 3"/>
    <w:basedOn w:val="Standaardtabel"/>
    <w:rsid w:val="00E9072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Lichtelijst-accent1">
    <w:name w:val="Light List Accent 1"/>
    <w:aliases w:val="Companen-tabel,Companen"/>
    <w:basedOn w:val="Standaardtabel"/>
    <w:uiPriority w:val="61"/>
    <w:rsid w:val="00D31EC9"/>
    <w:pPr>
      <w:spacing w:line="240" w:lineRule="auto"/>
    </w:pPr>
    <w:rPr>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spacing w:before="0" w:after="0" w:line="240" w:lineRule="auto"/>
      </w:pPr>
      <w:rPr>
        <w:rFonts w:asciiTheme="minorHAnsi" w:hAnsiTheme="minorHAnsi"/>
        <w:b/>
        <w:bCs/>
        <w:color w:val="auto"/>
        <w:sz w:val="18"/>
      </w:rPr>
      <w:tblPr/>
      <w:tcPr>
        <w:tcBorders>
          <w:top w:val="single" w:sz="4" w:space="0" w:color="5E8C2C" w:themeColor="text2"/>
          <w:left w:val="single" w:sz="4" w:space="0" w:color="5E8C2C" w:themeColor="text2"/>
          <w:bottom w:val="single" w:sz="4" w:space="0" w:color="5E8C2C" w:themeColor="text2"/>
          <w:right w:val="single" w:sz="4" w:space="0" w:color="5E8C2C" w:themeColor="text2"/>
          <w:insideH w:val="single" w:sz="4" w:space="0" w:color="5E8C2C" w:themeColor="text2"/>
          <w:insideV w:val="single" w:sz="4" w:space="0" w:color="5E8C2C" w:themeColor="text2"/>
        </w:tcBorders>
        <w:shd w:val="clear" w:color="auto" w:fill="D8E8C5" w:themeFill="background2"/>
      </w:tcPr>
    </w:tblStylePr>
    <w:tblStylePr w:type="lastRow">
      <w:pPr>
        <w:spacing w:before="0" w:after="0" w:line="240" w:lineRule="auto"/>
      </w:pPr>
      <w:rPr>
        <w:rFonts w:asciiTheme="minorHAnsi" w:hAnsiTheme="minorHAnsi"/>
        <w:b/>
        <w:bCs/>
        <w:sz w:val="18"/>
      </w:rPr>
      <w:tblPr/>
      <w:tcPr>
        <w:tcBorders>
          <w:top w:val="single" w:sz="4" w:space="0" w:color="5E8C2C" w:themeColor="text2"/>
          <w:left w:val="single" w:sz="4" w:space="0" w:color="5E8C2C" w:themeColor="text2"/>
          <w:bottom w:val="single" w:sz="4" w:space="0" w:color="5E8C2C" w:themeColor="text2"/>
          <w:right w:val="single" w:sz="4" w:space="0" w:color="5E8C2C" w:themeColor="text2"/>
          <w:insideH w:val="single" w:sz="4" w:space="0" w:color="5E8C2C" w:themeColor="text2"/>
          <w:insideV w:val="single" w:sz="4" w:space="0" w:color="5E8C2C" w:themeColor="text2"/>
        </w:tcBorders>
        <w:shd w:val="clear" w:color="auto" w:fill="FFFFFF" w:themeFill="background1"/>
      </w:tcPr>
    </w:tblStylePr>
    <w:tblStylePr w:type="firstCol">
      <w:pPr>
        <w:wordWrap/>
        <w:jc w:val="left"/>
      </w:pPr>
      <w:rPr>
        <w:rFonts w:asciiTheme="minorHAnsi" w:hAnsiTheme="minorHAnsi"/>
        <w:b w:val="0"/>
        <w:bCs/>
        <w:sz w:val="18"/>
      </w:rPr>
      <w:tblPr/>
      <w:tcPr>
        <w:tcBorders>
          <w:top w:val="single" w:sz="4" w:space="0" w:color="5E8C2C" w:themeColor="text2"/>
          <w:left w:val="single" w:sz="4" w:space="0" w:color="5E8C2C" w:themeColor="text2"/>
          <w:bottom w:val="single" w:sz="4" w:space="0" w:color="5E8C2C" w:themeColor="text2"/>
          <w:right w:val="single" w:sz="4" w:space="0" w:color="5E8C2C" w:themeColor="text2"/>
          <w:insideH w:val="single" w:sz="4" w:space="0" w:color="5E8C2C" w:themeColor="text2"/>
          <w:insideV w:val="single" w:sz="4" w:space="0" w:color="5E8C2C" w:themeColor="text2"/>
        </w:tcBorders>
        <w:shd w:val="clear" w:color="auto" w:fill="FFFFFF" w:themeFill="background1"/>
      </w:tcPr>
    </w:tblStylePr>
    <w:tblStylePr w:type="lastCol">
      <w:rPr>
        <w:rFonts w:asciiTheme="minorHAnsi" w:hAnsiTheme="minorHAnsi"/>
        <w:b/>
        <w:bCs/>
        <w:sz w:val="18"/>
      </w:rPr>
      <w:tblPr/>
      <w:tcPr>
        <w:tcBorders>
          <w:top w:val="single" w:sz="4" w:space="0" w:color="5E8C2C" w:themeColor="text2"/>
          <w:left w:val="single" w:sz="4" w:space="0" w:color="5E8C2C" w:themeColor="text2"/>
          <w:bottom w:val="single" w:sz="4" w:space="0" w:color="5E8C2C" w:themeColor="text2"/>
          <w:right w:val="single" w:sz="4" w:space="0" w:color="5E8C2C" w:themeColor="text2"/>
          <w:insideH w:val="single" w:sz="4" w:space="0" w:color="5E8C2C" w:themeColor="text2"/>
          <w:insideV w:val="single" w:sz="4" w:space="0" w:color="5E8C2C" w:themeColor="text2"/>
        </w:tcBorders>
        <w:shd w:val="clear" w:color="auto" w:fill="FFFFFF" w:themeFill="background1"/>
      </w:tcPr>
    </w:tblStylePr>
    <w:tblStylePr w:type="band1Vert">
      <w:pPr>
        <w:wordWrap/>
        <w:jc w:val="right"/>
      </w:pPr>
      <w:tblPr/>
      <w:tcPr>
        <w:tcBorders>
          <w:top w:val="nil"/>
          <w:left w:val="nil"/>
          <w:bottom w:val="nil"/>
          <w:right w:val="nil"/>
          <w:insideH w:val="nil"/>
          <w:insideV w:val="nil"/>
        </w:tcBorders>
        <w:shd w:val="clear" w:color="auto" w:fill="FFFFFF" w:themeFill="background1"/>
      </w:tcPr>
    </w:tblStylePr>
    <w:tblStylePr w:type="band2Vert">
      <w:pPr>
        <w:wordWrap/>
        <w:jc w:val="right"/>
      </w:pPr>
      <w:tblPr/>
      <w:tcPr>
        <w:tcBorders>
          <w:top w:val="single" w:sz="4" w:space="0" w:color="5E8C2C" w:themeColor="text2"/>
          <w:left w:val="single" w:sz="4" w:space="0" w:color="5E8C2C" w:themeColor="text2"/>
          <w:bottom w:val="single" w:sz="4" w:space="0" w:color="5E8C2C" w:themeColor="text2"/>
          <w:right w:val="single" w:sz="4" w:space="0" w:color="5E8C2C" w:themeColor="text2"/>
          <w:insideH w:val="single" w:sz="4" w:space="0" w:color="5E8C2C" w:themeColor="text2"/>
          <w:insideV w:val="single" w:sz="4" w:space="0" w:color="5E8C2C" w:themeColor="text2"/>
        </w:tcBorders>
        <w:shd w:val="clear" w:color="auto" w:fill="FFFFFF" w:themeFill="background1"/>
      </w:tcPr>
    </w:tblStylePr>
    <w:tblStylePr w:type="band1Horz">
      <w:tblPr/>
      <w:tcPr>
        <w:tcBorders>
          <w:top w:val="single" w:sz="4" w:space="0" w:color="5E8C2C" w:themeColor="text2"/>
          <w:left w:val="single" w:sz="4" w:space="0" w:color="5E8C2C" w:themeColor="text2"/>
          <w:bottom w:val="single" w:sz="4" w:space="0" w:color="5E8C2C" w:themeColor="text2"/>
          <w:right w:val="single" w:sz="4" w:space="0" w:color="5E8C2C" w:themeColor="text2"/>
          <w:insideH w:val="single" w:sz="4" w:space="0" w:color="5E8C2C" w:themeColor="text2"/>
          <w:insideV w:val="single" w:sz="4" w:space="0" w:color="5E8C2C" w:themeColor="text2"/>
          <w:tl2br w:val="nil"/>
          <w:tr2bl w:val="nil"/>
        </w:tcBorders>
        <w:shd w:val="clear" w:color="auto" w:fill="FFFFFF" w:themeFill="background1"/>
      </w:tcPr>
    </w:tblStylePr>
    <w:tblStylePr w:type="band2Horz">
      <w:tblPr/>
      <w:tcPr>
        <w:tcBorders>
          <w:top w:val="single" w:sz="4" w:space="0" w:color="5E8C2C" w:themeColor="text2"/>
          <w:left w:val="single" w:sz="4" w:space="0" w:color="5E8C2C" w:themeColor="text2"/>
          <w:bottom w:val="single" w:sz="4" w:space="0" w:color="5E8C2C" w:themeColor="text2"/>
          <w:right w:val="single" w:sz="4" w:space="0" w:color="5E8C2C" w:themeColor="text2"/>
          <w:insideH w:val="single" w:sz="4" w:space="0" w:color="5E8C2C" w:themeColor="text2"/>
          <w:insideV w:val="single" w:sz="4" w:space="0" w:color="5E8C2C" w:themeColor="text2"/>
          <w:tl2br w:val="nil"/>
          <w:tr2bl w:val="nil"/>
        </w:tcBorders>
        <w:shd w:val="clear" w:color="auto" w:fill="FFFFFF" w:themeFill="background1"/>
      </w:tcPr>
    </w:tblStylePr>
  </w:style>
  <w:style w:type="table" w:styleId="Eigentijdsetabel">
    <w:name w:val="Table Contemporary"/>
    <w:basedOn w:val="Standaardtabel"/>
    <w:rsid w:val="006D0171"/>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Ondertitel">
    <w:name w:val="Subtitle"/>
    <w:basedOn w:val="Standaard"/>
    <w:next w:val="Standaard"/>
    <w:link w:val="OndertitelChar"/>
    <w:rsid w:val="009038E9"/>
    <w:pPr>
      <w:numPr>
        <w:ilvl w:val="1"/>
      </w:numPr>
    </w:pPr>
    <w:rPr>
      <w:rFonts w:ascii="Calibri" w:eastAsiaTheme="majorEastAsia" w:hAnsi="Calibri" w:cstheme="majorBidi"/>
      <w:b/>
      <w:iCs/>
      <w:color w:val="908883" w:themeColor="accent3"/>
      <w:sz w:val="24"/>
      <w:szCs w:val="24"/>
    </w:rPr>
  </w:style>
  <w:style w:type="character" w:customStyle="1" w:styleId="OndertitelChar">
    <w:name w:val="Ondertitel Char"/>
    <w:basedOn w:val="Standaardalinea-lettertype"/>
    <w:link w:val="Ondertitel"/>
    <w:rsid w:val="009038E9"/>
    <w:rPr>
      <w:rFonts w:eastAsiaTheme="majorEastAsia" w:cstheme="majorBidi"/>
      <w:b/>
      <w:iCs/>
      <w:color w:val="908883" w:themeColor="accent3"/>
      <w:sz w:val="24"/>
      <w:szCs w:val="24"/>
    </w:rPr>
  </w:style>
  <w:style w:type="character" w:customStyle="1" w:styleId="KoptekstChar">
    <w:name w:val="Koptekst Char"/>
    <w:basedOn w:val="Standaardalinea-lettertype"/>
    <w:link w:val="Koptekst"/>
    <w:rsid w:val="00991054"/>
    <w:rPr>
      <w:rFonts w:asciiTheme="minorHAnsi" w:hAnsiTheme="minorHAnsi" w:cstheme="minorHAnsi"/>
    </w:rPr>
  </w:style>
  <w:style w:type="paragraph" w:customStyle="1" w:styleId="Brief">
    <w:name w:val="Brief"/>
    <w:basedOn w:val="Standaard"/>
    <w:link w:val="BriefChar"/>
    <w:rsid w:val="007A0502"/>
  </w:style>
  <w:style w:type="character" w:customStyle="1" w:styleId="BriefChar">
    <w:name w:val="Brief Char"/>
    <w:basedOn w:val="Standaardalinea-lettertype"/>
    <w:link w:val="Brief"/>
    <w:rsid w:val="007A0502"/>
    <w:rPr>
      <w:rFonts w:asciiTheme="minorHAnsi" w:hAnsiTheme="minorHAnsi" w:cstheme="minorHAnsi"/>
    </w:rPr>
  </w:style>
  <w:style w:type="table" w:styleId="Lichtelijst-accent3">
    <w:name w:val="Light List Accent 3"/>
    <w:basedOn w:val="Standaardtabel"/>
    <w:uiPriority w:val="61"/>
    <w:rsid w:val="008020D1"/>
    <w:pPr>
      <w:spacing w:line="240" w:lineRule="auto"/>
    </w:pPr>
    <w:tblPr>
      <w:tblStyleRowBandSize w:val="1"/>
      <w:tblStyleColBandSize w:val="1"/>
      <w:tblBorders>
        <w:top w:val="single" w:sz="8" w:space="0" w:color="908883" w:themeColor="accent3"/>
        <w:left w:val="single" w:sz="8" w:space="0" w:color="908883" w:themeColor="accent3"/>
        <w:bottom w:val="single" w:sz="8" w:space="0" w:color="908883" w:themeColor="accent3"/>
        <w:right w:val="single" w:sz="8" w:space="0" w:color="908883" w:themeColor="accent3"/>
      </w:tblBorders>
    </w:tblPr>
    <w:tblStylePr w:type="firstRow">
      <w:pPr>
        <w:spacing w:before="0" w:after="0" w:line="240" w:lineRule="auto"/>
      </w:pPr>
      <w:rPr>
        <w:b/>
        <w:bCs/>
        <w:color w:val="FFFFFF" w:themeColor="background1"/>
      </w:rPr>
      <w:tblPr/>
      <w:tcPr>
        <w:shd w:val="clear" w:color="auto" w:fill="908883" w:themeFill="accent3"/>
      </w:tcPr>
    </w:tblStylePr>
    <w:tblStylePr w:type="lastRow">
      <w:pPr>
        <w:spacing w:before="0" w:after="0" w:line="240" w:lineRule="auto"/>
      </w:pPr>
      <w:rPr>
        <w:b/>
        <w:bCs/>
      </w:rPr>
      <w:tblPr/>
      <w:tcPr>
        <w:tcBorders>
          <w:top w:val="double" w:sz="6" w:space="0" w:color="908883" w:themeColor="accent3"/>
          <w:left w:val="single" w:sz="8" w:space="0" w:color="908883" w:themeColor="accent3"/>
          <w:bottom w:val="single" w:sz="8" w:space="0" w:color="908883" w:themeColor="accent3"/>
          <w:right w:val="single" w:sz="8" w:space="0" w:color="908883" w:themeColor="accent3"/>
        </w:tcBorders>
      </w:tcPr>
    </w:tblStylePr>
    <w:tblStylePr w:type="firstCol">
      <w:rPr>
        <w:b/>
        <w:bCs/>
      </w:rPr>
    </w:tblStylePr>
    <w:tblStylePr w:type="lastCol">
      <w:rPr>
        <w:b/>
        <w:bCs/>
      </w:rPr>
    </w:tblStylePr>
    <w:tblStylePr w:type="band1Vert">
      <w:tblPr/>
      <w:tcPr>
        <w:tcBorders>
          <w:top w:val="single" w:sz="8" w:space="0" w:color="908883" w:themeColor="accent3"/>
          <w:left w:val="single" w:sz="8" w:space="0" w:color="908883" w:themeColor="accent3"/>
          <w:bottom w:val="single" w:sz="8" w:space="0" w:color="908883" w:themeColor="accent3"/>
          <w:right w:val="single" w:sz="8" w:space="0" w:color="908883" w:themeColor="accent3"/>
        </w:tcBorders>
      </w:tcPr>
    </w:tblStylePr>
    <w:tblStylePr w:type="band1Horz">
      <w:tblPr/>
      <w:tcPr>
        <w:tcBorders>
          <w:top w:val="single" w:sz="8" w:space="0" w:color="908883" w:themeColor="accent3"/>
          <w:left w:val="single" w:sz="8" w:space="0" w:color="908883" w:themeColor="accent3"/>
          <w:bottom w:val="single" w:sz="8" w:space="0" w:color="908883" w:themeColor="accent3"/>
          <w:right w:val="single" w:sz="8" w:space="0" w:color="908883" w:themeColor="accent3"/>
        </w:tcBorders>
      </w:tcPr>
    </w:tblStylePr>
  </w:style>
  <w:style w:type="paragraph" w:customStyle="1" w:styleId="Kadergroen">
    <w:name w:val="Kader groen"/>
    <w:basedOn w:val="Standaard"/>
    <w:next w:val="Standaard"/>
    <w:rsid w:val="00387DD3"/>
    <w:pPr>
      <w:shd w:val="clear" w:color="auto" w:fill="D8E8C5" w:themeFill="background2"/>
    </w:pPr>
    <w:rPr>
      <w:noProof/>
    </w:rPr>
  </w:style>
  <w:style w:type="character" w:customStyle="1" w:styleId="VoetnoottekstChar">
    <w:name w:val="Voetnoottekst Char"/>
    <w:basedOn w:val="Standaardalinea-lettertype"/>
    <w:link w:val="Voetnoottekst"/>
    <w:rsid w:val="0051071B"/>
    <w:rPr>
      <w:rFonts w:asciiTheme="minorHAnsi" w:hAnsiTheme="minorHAnsi" w:cstheme="minorHAnsi"/>
      <w:sz w:val="18"/>
    </w:rPr>
  </w:style>
  <w:style w:type="character" w:styleId="Voetnootmarkering">
    <w:name w:val="footnote reference"/>
    <w:basedOn w:val="Standaardalinea-lettertype"/>
    <w:unhideWhenUsed/>
    <w:rsid w:val="0051071B"/>
    <w:rPr>
      <w:vertAlign w:val="superscript"/>
    </w:rPr>
  </w:style>
  <w:style w:type="paragraph" w:styleId="Revisie">
    <w:name w:val="Revision"/>
    <w:hidden/>
    <w:uiPriority w:val="99"/>
    <w:semiHidden/>
    <w:rsid w:val="0054020E"/>
    <w:pPr>
      <w:spacing w:line="240" w:lineRule="auto"/>
    </w:pPr>
    <w:rPr>
      <w:rFonts w:asciiTheme="minorHAnsi" w:hAnsiTheme="minorHAnsi" w:cstheme="minorHAnsi"/>
    </w:rPr>
  </w:style>
  <w:style w:type="paragraph" w:styleId="Normaalweb">
    <w:name w:val="Normal (Web)"/>
    <w:basedOn w:val="Standaard"/>
    <w:semiHidden/>
    <w:unhideWhenUsed/>
    <w:rsid w:val="00797200"/>
    <w:rPr>
      <w:rFonts w:ascii="Times New Roman" w:hAnsi="Times New Roman" w:cs="Times New Roman"/>
      <w:sz w:val="24"/>
      <w:szCs w:val="24"/>
    </w:rPr>
  </w:style>
  <w:style w:type="paragraph" w:styleId="Duidelijkcitaat">
    <w:name w:val="Intense Quote"/>
    <w:basedOn w:val="Standaard"/>
    <w:next w:val="Standaard"/>
    <w:link w:val="DuidelijkcitaatChar"/>
    <w:uiPriority w:val="30"/>
    <w:rsid w:val="00DB7CC2"/>
    <w:pPr>
      <w:pBdr>
        <w:bottom w:val="single" w:sz="4" w:space="4" w:color="73B736" w:themeColor="accent1"/>
      </w:pBdr>
      <w:spacing w:before="200" w:after="280"/>
      <w:ind w:left="936" w:right="936"/>
    </w:pPr>
    <w:rPr>
      <w:b/>
      <w:bCs/>
      <w:i/>
      <w:iCs/>
      <w:color w:val="5E8C2C" w:themeColor="text2"/>
    </w:rPr>
  </w:style>
  <w:style w:type="character" w:customStyle="1" w:styleId="DuidelijkcitaatChar">
    <w:name w:val="Duidelijk citaat Char"/>
    <w:basedOn w:val="Standaardalinea-lettertype"/>
    <w:link w:val="Duidelijkcitaat"/>
    <w:uiPriority w:val="30"/>
    <w:rsid w:val="00DB7CC2"/>
    <w:rPr>
      <w:rFonts w:asciiTheme="minorHAnsi" w:hAnsiTheme="minorHAnsi" w:cstheme="minorHAnsi"/>
      <w:b/>
      <w:bCs/>
      <w:i/>
      <w:iCs/>
      <w:color w:val="5E8C2C" w:themeColor="text2"/>
    </w:rPr>
  </w:style>
  <w:style w:type="character" w:styleId="Subtieleverwijzing">
    <w:name w:val="Subtle Reference"/>
    <w:basedOn w:val="Standaardalinea-lettertype"/>
    <w:uiPriority w:val="31"/>
    <w:rsid w:val="00DB7CC2"/>
    <w:rPr>
      <w:smallCaps/>
      <w:color w:val="000000" w:themeColor="text1"/>
      <w:u w:val="single"/>
    </w:rPr>
  </w:style>
  <w:style w:type="character" w:styleId="Intensieveverwijzing">
    <w:name w:val="Intense Reference"/>
    <w:basedOn w:val="Standaardalinea-lettertype"/>
    <w:uiPriority w:val="32"/>
    <w:rsid w:val="00DB7CC2"/>
    <w:rPr>
      <w:b/>
      <w:bCs/>
      <w:smallCaps/>
      <w:color w:val="000000" w:themeColor="text1"/>
      <w:spacing w:val="5"/>
      <w:u w:val="single"/>
    </w:rPr>
  </w:style>
  <w:style w:type="paragraph" w:customStyle="1" w:styleId="Basisalinea">
    <w:name w:val="[Basisalinea]"/>
    <w:basedOn w:val="Standaard"/>
    <w:uiPriority w:val="99"/>
    <w:rsid w:val="00D154C9"/>
    <w:pPr>
      <w:autoSpaceDE w:val="0"/>
      <w:autoSpaceDN w:val="0"/>
      <w:adjustRightInd w:val="0"/>
      <w:spacing w:line="288" w:lineRule="auto"/>
      <w:textAlignment w:val="center"/>
    </w:pPr>
    <w:rPr>
      <w:rFonts w:ascii="MinionPro-Regular" w:hAnsi="MinionPro-Regular" w:cs="MinionPro-Regular"/>
      <w:color w:val="000000"/>
      <w:sz w:val="24"/>
      <w:szCs w:val="24"/>
    </w:rPr>
  </w:style>
  <w:style w:type="table" w:styleId="Gemiddeldelijst1-accent1">
    <w:name w:val="Medium List 1 Accent 1"/>
    <w:basedOn w:val="Standaardtabel"/>
    <w:uiPriority w:val="65"/>
    <w:rsid w:val="002F63D7"/>
    <w:pPr>
      <w:spacing w:line="240" w:lineRule="auto"/>
    </w:pPr>
    <w:rPr>
      <w:color w:val="000000" w:themeColor="text1"/>
    </w:rPr>
    <w:tblPr>
      <w:tblStyleRowBandSize w:val="1"/>
      <w:tblStyleColBandSize w:val="1"/>
      <w:tblBorders>
        <w:top w:val="single" w:sz="8" w:space="0" w:color="5E8C2C" w:themeColor="text2"/>
        <w:bottom w:val="single" w:sz="8" w:space="0" w:color="5E8C2C" w:themeColor="text2"/>
      </w:tblBorders>
    </w:tblPr>
    <w:tblStylePr w:type="firstRow">
      <w:rPr>
        <w:rFonts w:asciiTheme="majorHAnsi" w:eastAsiaTheme="majorEastAsia" w:hAnsiTheme="majorHAnsi" w:cstheme="majorBidi"/>
        <w:sz w:val="24"/>
      </w:rPr>
      <w:tblPr/>
      <w:tcPr>
        <w:tcBorders>
          <w:top w:val="single" w:sz="4" w:space="0" w:color="5E8C2C" w:themeColor="text2"/>
          <w:left w:val="nil"/>
          <w:bottom w:val="single" w:sz="4" w:space="0" w:color="5E8C2C" w:themeColor="text2"/>
          <w:right w:val="nil"/>
          <w:insideH w:val="nil"/>
          <w:insideV w:val="nil"/>
        </w:tcBorders>
      </w:tcPr>
    </w:tblStylePr>
    <w:tblStylePr w:type="lastRow">
      <w:rPr>
        <w:b/>
        <w:bCs/>
        <w:color w:val="5E8C2C" w:themeColor="text2"/>
      </w:rPr>
      <w:tblPr/>
      <w:tcPr>
        <w:tcBorders>
          <w:top w:val="single" w:sz="8" w:space="0" w:color="73B736" w:themeColor="accent1"/>
          <w:bottom w:val="single" w:sz="8" w:space="0" w:color="73B736" w:themeColor="accent1"/>
        </w:tcBorders>
      </w:tcPr>
    </w:tblStylePr>
    <w:tblStylePr w:type="firstCol">
      <w:rPr>
        <w:b/>
        <w:bCs/>
      </w:rPr>
    </w:tblStylePr>
    <w:tblStylePr w:type="lastCol">
      <w:rPr>
        <w:b/>
        <w:bCs/>
      </w:rPr>
      <w:tblPr/>
      <w:tcPr>
        <w:tcBorders>
          <w:top w:val="single" w:sz="8" w:space="0" w:color="73B736" w:themeColor="accent1"/>
          <w:bottom w:val="single" w:sz="8" w:space="0" w:color="73B736" w:themeColor="accent1"/>
        </w:tcBorders>
      </w:tcPr>
    </w:tblStylePr>
    <w:tblStylePr w:type="band1Vert">
      <w:tblPr/>
      <w:tcPr>
        <w:shd w:val="clear" w:color="auto" w:fill="DCEFCA" w:themeFill="accent1" w:themeFillTint="3F"/>
      </w:tcPr>
    </w:tblStylePr>
    <w:tblStylePr w:type="band1Horz">
      <w:tblPr/>
      <w:tcPr>
        <w:shd w:val="clear" w:color="auto" w:fill="F3F8EC"/>
      </w:tcPr>
    </w:tblStylePr>
  </w:style>
  <w:style w:type="character" w:customStyle="1" w:styleId="Voorpaginakop">
    <w:name w:val="Voorpagina kop"/>
    <w:basedOn w:val="Standaardalinea-lettertype"/>
    <w:uiPriority w:val="1"/>
    <w:rsid w:val="005925BC"/>
    <w:rPr>
      <w:rFonts w:asciiTheme="majorHAnsi" w:hAnsiTheme="majorHAnsi"/>
      <w:b/>
      <w:color w:val="auto"/>
      <w:sz w:val="28"/>
    </w:rPr>
  </w:style>
  <w:style w:type="character" w:customStyle="1" w:styleId="onderkopvoorpagina">
    <w:name w:val="onderkop voorpagina"/>
    <w:basedOn w:val="Standaardalinea-lettertype"/>
    <w:uiPriority w:val="1"/>
    <w:rsid w:val="002F63D7"/>
    <w:rPr>
      <w:rFonts w:ascii="Calibri Light" w:hAnsi="Calibri Light"/>
      <w:color w:val="auto"/>
      <w:sz w:val="28"/>
    </w:rPr>
  </w:style>
  <w:style w:type="character" w:customStyle="1" w:styleId="datumvoorpagina">
    <w:name w:val="datum voorpagina"/>
    <w:basedOn w:val="Standaardalinea-lettertype"/>
    <w:uiPriority w:val="1"/>
    <w:rsid w:val="002F63D7"/>
    <w:rPr>
      <w:rFonts w:ascii="Calibri Light" w:hAnsi="Calibri Light"/>
      <w:i w:val="0"/>
      <w:sz w:val="24"/>
    </w:rPr>
  </w:style>
  <w:style w:type="character" w:customStyle="1" w:styleId="Datumvoorblad">
    <w:name w:val="Datum voorblad"/>
    <w:basedOn w:val="Standaardalinea-lettertype"/>
    <w:uiPriority w:val="1"/>
    <w:qFormat/>
    <w:rsid w:val="00F525B5"/>
    <w:rPr>
      <w:rFonts w:ascii="Calibri Light" w:hAnsi="Calibri Light"/>
      <w:color w:val="auto"/>
      <w:sz w:val="28"/>
    </w:rPr>
  </w:style>
  <w:style w:type="character" w:customStyle="1" w:styleId="Kop5Char">
    <w:name w:val="Kop 5 Char"/>
    <w:basedOn w:val="Standaardalinea-lettertype"/>
    <w:link w:val="Kop5"/>
    <w:semiHidden/>
    <w:rsid w:val="00387DD3"/>
    <w:rPr>
      <w:rFonts w:asciiTheme="majorHAnsi" w:eastAsiaTheme="majorEastAsia" w:hAnsiTheme="majorHAnsi" w:cstheme="majorBidi"/>
      <w:color w:val="395B1B" w:themeColor="accent1" w:themeShade="7F"/>
    </w:rPr>
  </w:style>
  <w:style w:type="character" w:customStyle="1" w:styleId="Kop6Char">
    <w:name w:val="Kop 6 Char"/>
    <w:basedOn w:val="Standaardalinea-lettertype"/>
    <w:link w:val="Kop6"/>
    <w:semiHidden/>
    <w:rsid w:val="00387DD3"/>
    <w:rPr>
      <w:rFonts w:asciiTheme="majorHAnsi" w:eastAsiaTheme="majorEastAsia" w:hAnsiTheme="majorHAnsi" w:cstheme="majorBidi"/>
      <w:i/>
      <w:iCs/>
      <w:color w:val="395B1B" w:themeColor="accent1" w:themeShade="7F"/>
    </w:rPr>
  </w:style>
  <w:style w:type="character" w:customStyle="1" w:styleId="Kop7Char">
    <w:name w:val="Kop 7 Char"/>
    <w:basedOn w:val="Standaardalinea-lettertype"/>
    <w:link w:val="Kop7"/>
    <w:semiHidden/>
    <w:rsid w:val="00387DD3"/>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387DD3"/>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semiHidden/>
    <w:rsid w:val="00387DD3"/>
    <w:rPr>
      <w:rFonts w:asciiTheme="majorHAnsi" w:eastAsiaTheme="majorEastAsia" w:hAnsiTheme="majorHAnsi" w:cstheme="majorBidi"/>
      <w:i/>
      <w:iCs/>
      <w:color w:val="404040" w:themeColor="text1" w:themeTint="BF"/>
    </w:rPr>
  </w:style>
  <w:style w:type="character" w:customStyle="1" w:styleId="Stijl2">
    <w:name w:val="Stijl2"/>
    <w:basedOn w:val="Standaardalinea-lettertype"/>
    <w:uiPriority w:val="1"/>
    <w:rsid w:val="00387DD3"/>
    <w:rPr>
      <w:rFonts w:asciiTheme="majorHAnsi" w:hAnsiTheme="majorHAnsi"/>
      <w:b/>
      <w:sz w:val="40"/>
    </w:rPr>
  </w:style>
  <w:style w:type="character" w:customStyle="1" w:styleId="Opdrachtgevervoorblad">
    <w:name w:val="Opdrachtgever voorblad"/>
    <w:basedOn w:val="Standaardalinea-lettertype"/>
    <w:uiPriority w:val="1"/>
    <w:qFormat/>
    <w:rsid w:val="00F525B5"/>
    <w:rPr>
      <w:rFonts w:ascii="Calibri Light" w:hAnsi="Calibri Light"/>
      <w:sz w:val="48"/>
    </w:rPr>
  </w:style>
  <w:style w:type="paragraph" w:customStyle="1" w:styleId="Koptabellenenfiguren">
    <w:name w:val="Kop tabellen en figuren"/>
    <w:basedOn w:val="Standaard"/>
    <w:link w:val="KoptabellenenfigurenChar"/>
    <w:autoRedefine/>
    <w:qFormat/>
    <w:rsid w:val="00C846FC"/>
    <w:rPr>
      <w:i/>
      <w:sz w:val="18"/>
    </w:rPr>
  </w:style>
  <w:style w:type="character" w:customStyle="1" w:styleId="KoptabellenenfigurenChar">
    <w:name w:val="Kop tabellen en figuren Char"/>
    <w:basedOn w:val="Standaardalinea-lettertype"/>
    <w:link w:val="Koptabellenenfiguren"/>
    <w:rsid w:val="00C846FC"/>
    <w:rPr>
      <w:rFonts w:asciiTheme="minorHAnsi" w:hAnsiTheme="minorHAnsi" w:cstheme="minorHAnsi"/>
      <w:i/>
      <w:sz w:val="18"/>
    </w:rPr>
  </w:style>
  <w:style w:type="character" w:customStyle="1" w:styleId="Stijl1">
    <w:name w:val="Stijl1"/>
    <w:basedOn w:val="Standaardalinea-lettertype"/>
    <w:uiPriority w:val="1"/>
    <w:rsid w:val="00DC319A"/>
    <w:rPr>
      <w:rFonts w:asciiTheme="minorHAnsi" w:hAnsiTheme="minorHAnsi"/>
      <w:sz w:val="18"/>
    </w:rPr>
  </w:style>
  <w:style w:type="character" w:customStyle="1" w:styleId="Stijl3">
    <w:name w:val="Stijl3"/>
    <w:basedOn w:val="Standaardalinea-lettertype"/>
    <w:uiPriority w:val="1"/>
    <w:rsid w:val="00EA7AD8"/>
  </w:style>
  <w:style w:type="character" w:styleId="Hyperlink">
    <w:name w:val="Hyperlink"/>
    <w:basedOn w:val="Standaardalinea-lettertype"/>
    <w:unhideWhenUsed/>
    <w:rsid w:val="00361A23"/>
    <w:rPr>
      <w:color w:val="9F0245" w:themeColor="hyperlink"/>
      <w:u w:val="single"/>
    </w:rPr>
  </w:style>
  <w:style w:type="paragraph" w:customStyle="1" w:styleId="Hyperlinkblauw">
    <w:name w:val="Hyperlink blauw"/>
    <w:basedOn w:val="Standaard"/>
    <w:next w:val="Standaard"/>
    <w:link w:val="HyperlinkblauwChar"/>
    <w:qFormat/>
    <w:rsid w:val="00361A23"/>
    <w:rPr>
      <w:color w:val="0076AA" w:themeColor="accent4" w:themeShade="BF"/>
      <w:u w:val="single"/>
    </w:rPr>
  </w:style>
  <w:style w:type="character" w:customStyle="1" w:styleId="HyperlinkblauwChar">
    <w:name w:val="Hyperlink blauw Char"/>
    <w:basedOn w:val="Standaardalinea-lettertype"/>
    <w:link w:val="Hyperlinkblauw"/>
    <w:rsid w:val="00361A23"/>
    <w:rPr>
      <w:rFonts w:asciiTheme="minorHAnsi" w:hAnsiTheme="minorHAnsi" w:cstheme="minorHAnsi"/>
      <w:color w:val="0076AA" w:themeColor="accent4" w:themeShade="BF"/>
      <w:u w:val="single"/>
    </w:rPr>
  </w:style>
  <w:style w:type="table" w:styleId="Tabelrasterlicht">
    <w:name w:val="Grid Table Light"/>
    <w:basedOn w:val="Standaardtabel"/>
    <w:uiPriority w:val="40"/>
    <w:rsid w:val="002A6D0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757041"/>
    <w:pPr>
      <w:autoSpaceDE w:val="0"/>
      <w:autoSpaceDN w:val="0"/>
      <w:adjustRightInd w:val="0"/>
      <w:spacing w:line="240" w:lineRule="auto"/>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37577">
      <w:bodyDiv w:val="1"/>
      <w:marLeft w:val="0"/>
      <w:marRight w:val="0"/>
      <w:marTop w:val="0"/>
      <w:marBottom w:val="0"/>
      <w:divBdr>
        <w:top w:val="none" w:sz="0" w:space="0" w:color="auto"/>
        <w:left w:val="none" w:sz="0" w:space="0" w:color="auto"/>
        <w:bottom w:val="none" w:sz="0" w:space="0" w:color="auto"/>
        <w:right w:val="none" w:sz="0" w:space="0" w:color="auto"/>
      </w:divBdr>
    </w:div>
    <w:div w:id="209541527">
      <w:bodyDiv w:val="1"/>
      <w:marLeft w:val="0"/>
      <w:marRight w:val="0"/>
      <w:marTop w:val="0"/>
      <w:marBottom w:val="0"/>
      <w:divBdr>
        <w:top w:val="none" w:sz="0" w:space="0" w:color="auto"/>
        <w:left w:val="none" w:sz="0" w:space="0" w:color="auto"/>
        <w:bottom w:val="none" w:sz="0" w:space="0" w:color="auto"/>
        <w:right w:val="none" w:sz="0" w:space="0" w:color="auto"/>
      </w:divBdr>
    </w:div>
    <w:div w:id="399251197">
      <w:bodyDiv w:val="1"/>
      <w:marLeft w:val="0"/>
      <w:marRight w:val="0"/>
      <w:marTop w:val="0"/>
      <w:marBottom w:val="0"/>
      <w:divBdr>
        <w:top w:val="none" w:sz="0" w:space="0" w:color="auto"/>
        <w:left w:val="none" w:sz="0" w:space="0" w:color="auto"/>
        <w:bottom w:val="none" w:sz="0" w:space="0" w:color="auto"/>
        <w:right w:val="none" w:sz="0" w:space="0" w:color="auto"/>
      </w:divBdr>
    </w:div>
    <w:div w:id="406348928">
      <w:bodyDiv w:val="1"/>
      <w:marLeft w:val="0"/>
      <w:marRight w:val="0"/>
      <w:marTop w:val="0"/>
      <w:marBottom w:val="0"/>
      <w:divBdr>
        <w:top w:val="none" w:sz="0" w:space="0" w:color="auto"/>
        <w:left w:val="none" w:sz="0" w:space="0" w:color="auto"/>
        <w:bottom w:val="none" w:sz="0" w:space="0" w:color="auto"/>
        <w:right w:val="none" w:sz="0" w:space="0" w:color="auto"/>
      </w:divBdr>
    </w:div>
    <w:div w:id="417093911">
      <w:bodyDiv w:val="1"/>
      <w:marLeft w:val="0"/>
      <w:marRight w:val="0"/>
      <w:marTop w:val="0"/>
      <w:marBottom w:val="0"/>
      <w:divBdr>
        <w:top w:val="none" w:sz="0" w:space="0" w:color="auto"/>
        <w:left w:val="none" w:sz="0" w:space="0" w:color="auto"/>
        <w:bottom w:val="none" w:sz="0" w:space="0" w:color="auto"/>
        <w:right w:val="none" w:sz="0" w:space="0" w:color="auto"/>
      </w:divBdr>
    </w:div>
    <w:div w:id="483545806">
      <w:bodyDiv w:val="1"/>
      <w:marLeft w:val="0"/>
      <w:marRight w:val="0"/>
      <w:marTop w:val="0"/>
      <w:marBottom w:val="0"/>
      <w:divBdr>
        <w:top w:val="none" w:sz="0" w:space="0" w:color="auto"/>
        <w:left w:val="none" w:sz="0" w:space="0" w:color="auto"/>
        <w:bottom w:val="none" w:sz="0" w:space="0" w:color="auto"/>
        <w:right w:val="none" w:sz="0" w:space="0" w:color="auto"/>
      </w:divBdr>
    </w:div>
    <w:div w:id="569779649">
      <w:bodyDiv w:val="1"/>
      <w:marLeft w:val="0"/>
      <w:marRight w:val="0"/>
      <w:marTop w:val="0"/>
      <w:marBottom w:val="0"/>
      <w:divBdr>
        <w:top w:val="none" w:sz="0" w:space="0" w:color="auto"/>
        <w:left w:val="none" w:sz="0" w:space="0" w:color="auto"/>
        <w:bottom w:val="none" w:sz="0" w:space="0" w:color="auto"/>
        <w:right w:val="none" w:sz="0" w:space="0" w:color="auto"/>
      </w:divBdr>
      <w:divsChild>
        <w:div w:id="403993617">
          <w:marLeft w:val="547"/>
          <w:marRight w:val="0"/>
          <w:marTop w:val="115"/>
          <w:marBottom w:val="0"/>
          <w:divBdr>
            <w:top w:val="none" w:sz="0" w:space="0" w:color="auto"/>
            <w:left w:val="none" w:sz="0" w:space="0" w:color="auto"/>
            <w:bottom w:val="none" w:sz="0" w:space="0" w:color="auto"/>
            <w:right w:val="none" w:sz="0" w:space="0" w:color="auto"/>
          </w:divBdr>
        </w:div>
        <w:div w:id="432553940">
          <w:marLeft w:val="547"/>
          <w:marRight w:val="0"/>
          <w:marTop w:val="115"/>
          <w:marBottom w:val="0"/>
          <w:divBdr>
            <w:top w:val="none" w:sz="0" w:space="0" w:color="auto"/>
            <w:left w:val="none" w:sz="0" w:space="0" w:color="auto"/>
            <w:bottom w:val="none" w:sz="0" w:space="0" w:color="auto"/>
            <w:right w:val="none" w:sz="0" w:space="0" w:color="auto"/>
          </w:divBdr>
        </w:div>
        <w:div w:id="1585147713">
          <w:marLeft w:val="547"/>
          <w:marRight w:val="0"/>
          <w:marTop w:val="115"/>
          <w:marBottom w:val="0"/>
          <w:divBdr>
            <w:top w:val="none" w:sz="0" w:space="0" w:color="auto"/>
            <w:left w:val="none" w:sz="0" w:space="0" w:color="auto"/>
            <w:bottom w:val="none" w:sz="0" w:space="0" w:color="auto"/>
            <w:right w:val="none" w:sz="0" w:space="0" w:color="auto"/>
          </w:divBdr>
        </w:div>
        <w:div w:id="37635298">
          <w:marLeft w:val="547"/>
          <w:marRight w:val="0"/>
          <w:marTop w:val="115"/>
          <w:marBottom w:val="0"/>
          <w:divBdr>
            <w:top w:val="none" w:sz="0" w:space="0" w:color="auto"/>
            <w:left w:val="none" w:sz="0" w:space="0" w:color="auto"/>
            <w:bottom w:val="none" w:sz="0" w:space="0" w:color="auto"/>
            <w:right w:val="none" w:sz="0" w:space="0" w:color="auto"/>
          </w:divBdr>
        </w:div>
      </w:divsChild>
    </w:div>
    <w:div w:id="655183207">
      <w:bodyDiv w:val="1"/>
      <w:marLeft w:val="0"/>
      <w:marRight w:val="0"/>
      <w:marTop w:val="0"/>
      <w:marBottom w:val="0"/>
      <w:divBdr>
        <w:top w:val="none" w:sz="0" w:space="0" w:color="auto"/>
        <w:left w:val="none" w:sz="0" w:space="0" w:color="auto"/>
        <w:bottom w:val="none" w:sz="0" w:space="0" w:color="auto"/>
        <w:right w:val="none" w:sz="0" w:space="0" w:color="auto"/>
      </w:divBdr>
    </w:div>
    <w:div w:id="937837154">
      <w:bodyDiv w:val="1"/>
      <w:marLeft w:val="0"/>
      <w:marRight w:val="0"/>
      <w:marTop w:val="0"/>
      <w:marBottom w:val="0"/>
      <w:divBdr>
        <w:top w:val="none" w:sz="0" w:space="0" w:color="auto"/>
        <w:left w:val="none" w:sz="0" w:space="0" w:color="auto"/>
        <w:bottom w:val="none" w:sz="0" w:space="0" w:color="auto"/>
        <w:right w:val="none" w:sz="0" w:space="0" w:color="auto"/>
      </w:divBdr>
    </w:div>
    <w:div w:id="959797065">
      <w:bodyDiv w:val="1"/>
      <w:marLeft w:val="0"/>
      <w:marRight w:val="0"/>
      <w:marTop w:val="0"/>
      <w:marBottom w:val="0"/>
      <w:divBdr>
        <w:top w:val="none" w:sz="0" w:space="0" w:color="auto"/>
        <w:left w:val="none" w:sz="0" w:space="0" w:color="auto"/>
        <w:bottom w:val="none" w:sz="0" w:space="0" w:color="auto"/>
        <w:right w:val="none" w:sz="0" w:space="0" w:color="auto"/>
      </w:divBdr>
    </w:div>
    <w:div w:id="1078096287">
      <w:bodyDiv w:val="1"/>
      <w:marLeft w:val="0"/>
      <w:marRight w:val="0"/>
      <w:marTop w:val="0"/>
      <w:marBottom w:val="0"/>
      <w:divBdr>
        <w:top w:val="none" w:sz="0" w:space="0" w:color="auto"/>
        <w:left w:val="none" w:sz="0" w:space="0" w:color="auto"/>
        <w:bottom w:val="none" w:sz="0" w:space="0" w:color="auto"/>
        <w:right w:val="none" w:sz="0" w:space="0" w:color="auto"/>
      </w:divBdr>
    </w:div>
    <w:div w:id="1243638278">
      <w:bodyDiv w:val="1"/>
      <w:marLeft w:val="0"/>
      <w:marRight w:val="0"/>
      <w:marTop w:val="0"/>
      <w:marBottom w:val="0"/>
      <w:divBdr>
        <w:top w:val="none" w:sz="0" w:space="0" w:color="auto"/>
        <w:left w:val="none" w:sz="0" w:space="0" w:color="auto"/>
        <w:bottom w:val="none" w:sz="0" w:space="0" w:color="auto"/>
        <w:right w:val="none" w:sz="0" w:space="0" w:color="auto"/>
      </w:divBdr>
    </w:div>
    <w:div w:id="127490427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39">
          <w:marLeft w:val="547"/>
          <w:marRight w:val="0"/>
          <w:marTop w:val="115"/>
          <w:marBottom w:val="0"/>
          <w:divBdr>
            <w:top w:val="none" w:sz="0" w:space="0" w:color="auto"/>
            <w:left w:val="none" w:sz="0" w:space="0" w:color="auto"/>
            <w:bottom w:val="none" w:sz="0" w:space="0" w:color="auto"/>
            <w:right w:val="none" w:sz="0" w:space="0" w:color="auto"/>
          </w:divBdr>
        </w:div>
        <w:div w:id="46614974">
          <w:marLeft w:val="547"/>
          <w:marRight w:val="0"/>
          <w:marTop w:val="115"/>
          <w:marBottom w:val="0"/>
          <w:divBdr>
            <w:top w:val="none" w:sz="0" w:space="0" w:color="auto"/>
            <w:left w:val="none" w:sz="0" w:space="0" w:color="auto"/>
            <w:bottom w:val="none" w:sz="0" w:space="0" w:color="auto"/>
            <w:right w:val="none" w:sz="0" w:space="0" w:color="auto"/>
          </w:divBdr>
        </w:div>
        <w:div w:id="1164976738">
          <w:marLeft w:val="547"/>
          <w:marRight w:val="0"/>
          <w:marTop w:val="115"/>
          <w:marBottom w:val="0"/>
          <w:divBdr>
            <w:top w:val="none" w:sz="0" w:space="0" w:color="auto"/>
            <w:left w:val="none" w:sz="0" w:space="0" w:color="auto"/>
            <w:bottom w:val="none" w:sz="0" w:space="0" w:color="auto"/>
            <w:right w:val="none" w:sz="0" w:space="0" w:color="auto"/>
          </w:divBdr>
        </w:div>
        <w:div w:id="389034019">
          <w:marLeft w:val="547"/>
          <w:marRight w:val="0"/>
          <w:marTop w:val="115"/>
          <w:marBottom w:val="0"/>
          <w:divBdr>
            <w:top w:val="none" w:sz="0" w:space="0" w:color="auto"/>
            <w:left w:val="none" w:sz="0" w:space="0" w:color="auto"/>
            <w:bottom w:val="none" w:sz="0" w:space="0" w:color="auto"/>
            <w:right w:val="none" w:sz="0" w:space="0" w:color="auto"/>
          </w:divBdr>
        </w:div>
      </w:divsChild>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316104201">
      <w:bodyDiv w:val="1"/>
      <w:marLeft w:val="0"/>
      <w:marRight w:val="0"/>
      <w:marTop w:val="0"/>
      <w:marBottom w:val="0"/>
      <w:divBdr>
        <w:top w:val="none" w:sz="0" w:space="0" w:color="auto"/>
        <w:left w:val="none" w:sz="0" w:space="0" w:color="auto"/>
        <w:bottom w:val="none" w:sz="0" w:space="0" w:color="auto"/>
        <w:right w:val="none" w:sz="0" w:space="0" w:color="auto"/>
      </w:divBdr>
    </w:div>
    <w:div w:id="1540968411">
      <w:bodyDiv w:val="1"/>
      <w:marLeft w:val="0"/>
      <w:marRight w:val="0"/>
      <w:marTop w:val="0"/>
      <w:marBottom w:val="0"/>
      <w:divBdr>
        <w:top w:val="none" w:sz="0" w:space="0" w:color="auto"/>
        <w:left w:val="none" w:sz="0" w:space="0" w:color="auto"/>
        <w:bottom w:val="none" w:sz="0" w:space="0" w:color="auto"/>
        <w:right w:val="none" w:sz="0" w:space="0" w:color="auto"/>
      </w:divBdr>
    </w:div>
    <w:div w:id="1580600419">
      <w:bodyDiv w:val="1"/>
      <w:marLeft w:val="0"/>
      <w:marRight w:val="0"/>
      <w:marTop w:val="0"/>
      <w:marBottom w:val="0"/>
      <w:divBdr>
        <w:top w:val="none" w:sz="0" w:space="0" w:color="auto"/>
        <w:left w:val="none" w:sz="0" w:space="0" w:color="auto"/>
        <w:bottom w:val="none" w:sz="0" w:space="0" w:color="auto"/>
        <w:right w:val="none" w:sz="0" w:space="0" w:color="auto"/>
      </w:divBdr>
    </w:div>
    <w:div w:id="1675886802">
      <w:bodyDiv w:val="1"/>
      <w:marLeft w:val="0"/>
      <w:marRight w:val="0"/>
      <w:marTop w:val="0"/>
      <w:marBottom w:val="0"/>
      <w:divBdr>
        <w:top w:val="none" w:sz="0" w:space="0" w:color="auto"/>
        <w:left w:val="none" w:sz="0" w:space="0" w:color="auto"/>
        <w:bottom w:val="none" w:sz="0" w:space="0" w:color="auto"/>
        <w:right w:val="none" w:sz="0" w:space="0" w:color="auto"/>
      </w:divBdr>
    </w:div>
    <w:div w:id="1718819648">
      <w:bodyDiv w:val="1"/>
      <w:marLeft w:val="0"/>
      <w:marRight w:val="0"/>
      <w:marTop w:val="0"/>
      <w:marBottom w:val="0"/>
      <w:divBdr>
        <w:top w:val="none" w:sz="0" w:space="0" w:color="auto"/>
        <w:left w:val="none" w:sz="0" w:space="0" w:color="auto"/>
        <w:bottom w:val="none" w:sz="0" w:space="0" w:color="auto"/>
        <w:right w:val="none" w:sz="0" w:space="0" w:color="auto"/>
      </w:divBdr>
    </w:div>
    <w:div w:id="1726292281">
      <w:bodyDiv w:val="1"/>
      <w:marLeft w:val="0"/>
      <w:marRight w:val="0"/>
      <w:marTop w:val="0"/>
      <w:marBottom w:val="0"/>
      <w:divBdr>
        <w:top w:val="none" w:sz="0" w:space="0" w:color="auto"/>
        <w:left w:val="none" w:sz="0" w:space="0" w:color="auto"/>
        <w:bottom w:val="none" w:sz="0" w:space="0" w:color="auto"/>
        <w:right w:val="none" w:sz="0" w:space="0" w:color="auto"/>
      </w:divBdr>
    </w:div>
    <w:div w:id="1745030728">
      <w:bodyDiv w:val="1"/>
      <w:marLeft w:val="0"/>
      <w:marRight w:val="0"/>
      <w:marTop w:val="0"/>
      <w:marBottom w:val="0"/>
      <w:divBdr>
        <w:top w:val="none" w:sz="0" w:space="0" w:color="auto"/>
        <w:left w:val="none" w:sz="0" w:space="0" w:color="auto"/>
        <w:bottom w:val="none" w:sz="0" w:space="0" w:color="auto"/>
        <w:right w:val="none" w:sz="0" w:space="0" w:color="auto"/>
      </w:divBdr>
    </w:div>
    <w:div w:id="1823692844">
      <w:bodyDiv w:val="1"/>
      <w:marLeft w:val="0"/>
      <w:marRight w:val="0"/>
      <w:marTop w:val="0"/>
      <w:marBottom w:val="0"/>
      <w:divBdr>
        <w:top w:val="none" w:sz="0" w:space="0" w:color="auto"/>
        <w:left w:val="none" w:sz="0" w:space="0" w:color="auto"/>
        <w:bottom w:val="none" w:sz="0" w:space="0" w:color="auto"/>
        <w:right w:val="none" w:sz="0" w:space="0" w:color="auto"/>
      </w:divBdr>
    </w:div>
    <w:div w:id="1872692628">
      <w:bodyDiv w:val="1"/>
      <w:marLeft w:val="0"/>
      <w:marRight w:val="0"/>
      <w:marTop w:val="0"/>
      <w:marBottom w:val="0"/>
      <w:divBdr>
        <w:top w:val="none" w:sz="0" w:space="0" w:color="auto"/>
        <w:left w:val="none" w:sz="0" w:space="0" w:color="auto"/>
        <w:bottom w:val="none" w:sz="0" w:space="0" w:color="auto"/>
        <w:right w:val="none" w:sz="0" w:space="0" w:color="auto"/>
      </w:divBdr>
    </w:div>
    <w:div w:id="1930893487">
      <w:bodyDiv w:val="1"/>
      <w:marLeft w:val="0"/>
      <w:marRight w:val="0"/>
      <w:marTop w:val="0"/>
      <w:marBottom w:val="0"/>
      <w:divBdr>
        <w:top w:val="none" w:sz="0" w:space="0" w:color="auto"/>
        <w:left w:val="none" w:sz="0" w:space="0" w:color="auto"/>
        <w:bottom w:val="none" w:sz="0" w:space="0" w:color="auto"/>
        <w:right w:val="none" w:sz="0" w:space="0" w:color="auto"/>
      </w:divBdr>
      <w:divsChild>
        <w:div w:id="646202775">
          <w:marLeft w:val="547"/>
          <w:marRight w:val="0"/>
          <w:marTop w:val="115"/>
          <w:marBottom w:val="0"/>
          <w:divBdr>
            <w:top w:val="none" w:sz="0" w:space="0" w:color="auto"/>
            <w:left w:val="none" w:sz="0" w:space="0" w:color="auto"/>
            <w:bottom w:val="none" w:sz="0" w:space="0" w:color="auto"/>
            <w:right w:val="none" w:sz="0" w:space="0" w:color="auto"/>
          </w:divBdr>
        </w:div>
        <w:div w:id="720597947">
          <w:marLeft w:val="547"/>
          <w:marRight w:val="0"/>
          <w:marTop w:val="115"/>
          <w:marBottom w:val="0"/>
          <w:divBdr>
            <w:top w:val="none" w:sz="0" w:space="0" w:color="auto"/>
            <w:left w:val="none" w:sz="0" w:space="0" w:color="auto"/>
            <w:bottom w:val="none" w:sz="0" w:space="0" w:color="auto"/>
            <w:right w:val="none" w:sz="0" w:space="0" w:color="auto"/>
          </w:divBdr>
        </w:div>
        <w:div w:id="1754813609">
          <w:marLeft w:val="547"/>
          <w:marRight w:val="0"/>
          <w:marTop w:val="115"/>
          <w:marBottom w:val="0"/>
          <w:divBdr>
            <w:top w:val="none" w:sz="0" w:space="0" w:color="auto"/>
            <w:left w:val="none" w:sz="0" w:space="0" w:color="auto"/>
            <w:bottom w:val="none" w:sz="0" w:space="0" w:color="auto"/>
            <w:right w:val="none" w:sz="0" w:space="0" w:color="auto"/>
          </w:divBdr>
        </w:div>
        <w:div w:id="1535775793">
          <w:marLeft w:val="547"/>
          <w:marRight w:val="0"/>
          <w:marTop w:val="115"/>
          <w:marBottom w:val="0"/>
          <w:divBdr>
            <w:top w:val="none" w:sz="0" w:space="0" w:color="auto"/>
            <w:left w:val="none" w:sz="0" w:space="0" w:color="auto"/>
            <w:bottom w:val="none" w:sz="0" w:space="0" w:color="auto"/>
            <w:right w:val="none" w:sz="0" w:space="0" w:color="auto"/>
          </w:divBdr>
        </w:div>
        <w:div w:id="886070592">
          <w:marLeft w:val="547"/>
          <w:marRight w:val="0"/>
          <w:marTop w:val="115"/>
          <w:marBottom w:val="0"/>
          <w:divBdr>
            <w:top w:val="none" w:sz="0" w:space="0" w:color="auto"/>
            <w:left w:val="none" w:sz="0" w:space="0" w:color="auto"/>
            <w:bottom w:val="none" w:sz="0" w:space="0" w:color="auto"/>
            <w:right w:val="none" w:sz="0" w:space="0" w:color="auto"/>
          </w:divBdr>
        </w:div>
      </w:divsChild>
    </w:div>
    <w:div w:id="2032023450">
      <w:bodyDiv w:val="1"/>
      <w:marLeft w:val="0"/>
      <w:marRight w:val="0"/>
      <w:marTop w:val="0"/>
      <w:marBottom w:val="0"/>
      <w:divBdr>
        <w:top w:val="none" w:sz="0" w:space="0" w:color="auto"/>
        <w:left w:val="none" w:sz="0" w:space="0" w:color="auto"/>
        <w:bottom w:val="none" w:sz="0" w:space="0" w:color="auto"/>
        <w:right w:val="none" w:sz="0" w:space="0" w:color="auto"/>
      </w:divBdr>
    </w:div>
    <w:div w:id="2081559745">
      <w:bodyDiv w:val="1"/>
      <w:marLeft w:val="0"/>
      <w:marRight w:val="0"/>
      <w:marTop w:val="0"/>
      <w:marBottom w:val="0"/>
      <w:divBdr>
        <w:top w:val="none" w:sz="0" w:space="0" w:color="auto"/>
        <w:left w:val="none" w:sz="0" w:space="0" w:color="auto"/>
        <w:bottom w:val="none" w:sz="0" w:space="0" w:color="auto"/>
        <w:right w:val="none" w:sz="0" w:space="0" w:color="auto"/>
      </w:divBdr>
    </w:div>
    <w:div w:id="208695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Companen huisstijl nieuw">
  <a:themeElements>
    <a:clrScheme name="Companen nieuwe huisstijl">
      <a:dk1>
        <a:sysClr val="windowText" lastClr="000000"/>
      </a:dk1>
      <a:lt1>
        <a:sysClr val="window" lastClr="FFFFFF"/>
      </a:lt1>
      <a:dk2>
        <a:srgbClr val="5E8C2C"/>
      </a:dk2>
      <a:lt2>
        <a:srgbClr val="D8E8C5"/>
      </a:lt2>
      <a:accent1>
        <a:srgbClr val="73B736"/>
      </a:accent1>
      <a:accent2>
        <a:srgbClr val="E93950"/>
      </a:accent2>
      <a:accent3>
        <a:srgbClr val="908883"/>
      </a:accent3>
      <a:accent4>
        <a:srgbClr val="009FE3"/>
      </a:accent4>
      <a:accent5>
        <a:srgbClr val="F39200"/>
      </a:accent5>
      <a:accent6>
        <a:srgbClr val="C85376"/>
      </a:accent6>
      <a:hlink>
        <a:srgbClr val="9F0245"/>
      </a:hlink>
      <a:folHlink>
        <a:srgbClr val="006F9E"/>
      </a:folHlink>
    </a:clrScheme>
    <a:fontScheme name="Companen2">
      <a:majorFont>
        <a:latin typeface="Calibri"/>
        <a:ea typeface=""/>
        <a:cs typeface=""/>
      </a:majorFont>
      <a:minorFont>
        <a:latin typeface="Calibri"/>
        <a:ea typeface=""/>
        <a:cs typeface=""/>
      </a:minorFont>
    </a:fontScheme>
    <a:fmtScheme name="Companen2">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ln w="6350">
          <a:solidFill>
            <a:schemeClr val="tx2"/>
          </a:solidFill>
          <a:headEnd/>
          <a:tailEnd/>
        </a:ln>
      </a:spPr>
      <a:bodyPr rot="0" vert="horz" wrap="square" lIns="91440" tIns="45720" rIns="91440" bIns="45720" anchor="t" anchorCtr="0">
        <a:spAutoFit/>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2013-08-01T00:00:00</PublishDate>
  <Abstract/>
  <CompanyAddress>Xstatus</CompanyAddress>
  <CompanyPhone/>
  <CompanyFax>xKlantnaam</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477C40-88F8-49FA-9DF5-3AFFC022C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2193</Words>
  <Characters>13131</Characters>
  <Application>Microsoft Office Word</Application>
  <DocSecurity>4</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Eerste resultaten analyses</dc:subject>
  <dc:creator>Bram Klouwen</dc:creator>
  <cp:keywords/>
  <dc:description/>
  <cp:lastModifiedBy>Linda Akkerman</cp:lastModifiedBy>
  <cp:revision>2</cp:revision>
  <cp:lastPrinted>2018-04-03T07:52:00Z</cp:lastPrinted>
  <dcterms:created xsi:type="dcterms:W3CDTF">2019-09-13T07:53:00Z</dcterms:created>
  <dcterms:modified xsi:type="dcterms:W3CDTF">2019-09-13T07:53:00Z</dcterms:modified>
</cp:coreProperties>
</file>