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3A72" w14:textId="3494D5DC" w:rsidR="00B358E5" w:rsidRPr="00864207" w:rsidRDefault="00197EFD" w:rsidP="00197EFD">
      <w:pPr>
        <w:pStyle w:val="Lijstalinea"/>
        <w:tabs>
          <w:tab w:val="left" w:pos="426"/>
        </w:tabs>
        <w:ind w:left="0"/>
        <w:rPr>
          <w:rFonts w:cs="Arial"/>
          <w:b/>
          <w:sz w:val="24"/>
        </w:rPr>
      </w:pPr>
      <w:r w:rsidRPr="00864207">
        <w:rPr>
          <w:rFonts w:cs="Arial"/>
          <w:b/>
          <w:sz w:val="24"/>
        </w:rPr>
        <w:t>Normbedragen kwijtschelding</w:t>
      </w:r>
      <w:r w:rsidR="006D2321" w:rsidRPr="00864207">
        <w:rPr>
          <w:rFonts w:cs="Arial"/>
          <w:b/>
          <w:sz w:val="24"/>
        </w:rPr>
        <w:t xml:space="preserve"> belastingen per </w:t>
      </w:r>
      <w:r w:rsidR="006A0A0D" w:rsidRPr="00864207">
        <w:rPr>
          <w:rFonts w:cs="Arial"/>
          <w:b/>
          <w:sz w:val="24"/>
        </w:rPr>
        <w:t xml:space="preserve">1 </w:t>
      </w:r>
      <w:r w:rsidR="0001318E">
        <w:rPr>
          <w:rFonts w:cs="Arial"/>
          <w:b/>
          <w:sz w:val="24"/>
        </w:rPr>
        <w:t>januari 2025</w:t>
      </w:r>
    </w:p>
    <w:p w14:paraId="0AB21B42" w14:textId="77777777" w:rsidR="007C2AE4" w:rsidRDefault="007C2AE4" w:rsidP="00197EFD">
      <w:pPr>
        <w:pStyle w:val="Lijstalinea"/>
        <w:tabs>
          <w:tab w:val="left" w:pos="426"/>
        </w:tabs>
        <w:ind w:left="0"/>
        <w:rPr>
          <w:rFonts w:cs="Arial"/>
          <w:b/>
          <w:szCs w:val="20"/>
        </w:rPr>
      </w:pPr>
    </w:p>
    <w:p w14:paraId="6DCC5F8E" w14:textId="77777777" w:rsidR="00197EFD" w:rsidRDefault="00197EFD" w:rsidP="00197E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i/>
          <w:sz w:val="19"/>
          <w:szCs w:val="19"/>
        </w:rPr>
      </w:pPr>
      <w:r w:rsidRPr="000F3330">
        <w:rPr>
          <w:rFonts w:cs="Arial"/>
          <w:i/>
          <w:sz w:val="19"/>
          <w:szCs w:val="19"/>
        </w:rPr>
        <w:t>Normbedragen voor bestaanskosten</w:t>
      </w:r>
    </w:p>
    <w:p w14:paraId="67C40C3A" w14:textId="77777777" w:rsidR="00196E61" w:rsidRPr="000F3330" w:rsidRDefault="00196E61" w:rsidP="00197E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i/>
          <w:sz w:val="19"/>
          <w:szCs w:val="19"/>
        </w:rPr>
      </w:pPr>
    </w:p>
    <w:p w14:paraId="547ACDB6" w14:textId="487453D7" w:rsidR="00197EFD" w:rsidRPr="000F3330" w:rsidRDefault="001256C0" w:rsidP="00197E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right="-425"/>
        <w:rPr>
          <w:rFonts w:cs="Arial"/>
          <w:sz w:val="19"/>
          <w:szCs w:val="19"/>
        </w:rPr>
      </w:pPr>
      <w:r w:rsidRPr="000F3330">
        <w:rPr>
          <w:rFonts w:cs="Arial"/>
          <w:sz w:val="19"/>
          <w:szCs w:val="19"/>
        </w:rPr>
        <w:t xml:space="preserve">Per </w:t>
      </w:r>
      <w:r w:rsidR="006A0A0D" w:rsidRPr="000F3330">
        <w:rPr>
          <w:rFonts w:cs="Arial"/>
          <w:sz w:val="19"/>
          <w:szCs w:val="19"/>
        </w:rPr>
        <w:t xml:space="preserve">1 </w:t>
      </w:r>
      <w:r w:rsidR="0001318E">
        <w:rPr>
          <w:rFonts w:cs="Arial"/>
          <w:sz w:val="19"/>
          <w:szCs w:val="19"/>
        </w:rPr>
        <w:t>januari 2025</w:t>
      </w:r>
      <w:r w:rsidRPr="000F3330">
        <w:rPr>
          <w:rFonts w:cs="Arial"/>
          <w:sz w:val="19"/>
          <w:szCs w:val="19"/>
        </w:rPr>
        <w:t xml:space="preserve"> wijzigen de bijstandsnormen</w:t>
      </w:r>
      <w:r w:rsidR="00F04A5C" w:rsidRPr="000F3330">
        <w:rPr>
          <w:rStyle w:val="Voetnootmarkering"/>
          <w:rFonts w:cs="Arial"/>
          <w:sz w:val="19"/>
          <w:szCs w:val="19"/>
          <w:vertAlign w:val="superscript"/>
        </w:rPr>
        <w:footnoteReference w:id="1"/>
      </w:r>
      <w:r w:rsidR="00197EFD" w:rsidRPr="000F3330">
        <w:rPr>
          <w:rFonts w:cs="Arial"/>
          <w:sz w:val="19"/>
          <w:szCs w:val="19"/>
        </w:rPr>
        <w:t xml:space="preserve">. Als gevolg hiervan wijzigen ook de normbedragen voor de kosten van bestaan bij de kwijtschelding van belastingen. </w:t>
      </w:r>
    </w:p>
    <w:p w14:paraId="0632942A" w14:textId="77777777" w:rsidR="00197EFD" w:rsidRPr="00FB07B9" w:rsidRDefault="00197EFD" w:rsidP="00197E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Cs w:val="20"/>
        </w:rPr>
      </w:pPr>
    </w:p>
    <w:tbl>
      <w:tblPr>
        <w:tblW w:w="951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572"/>
        <w:gridCol w:w="4111"/>
        <w:gridCol w:w="1275"/>
        <w:gridCol w:w="1276"/>
        <w:gridCol w:w="1276"/>
      </w:tblGrid>
      <w:tr w:rsidR="00197EFD" w:rsidRPr="005E0273" w14:paraId="2690FE5C" w14:textId="77777777" w:rsidTr="00D359C3">
        <w:trPr>
          <w:cantSplit/>
        </w:trPr>
        <w:tc>
          <w:tcPr>
            <w:tcW w:w="5683" w:type="dxa"/>
            <w:gridSpan w:val="2"/>
          </w:tcPr>
          <w:p w14:paraId="5D6AC8F3" w14:textId="77777777" w:rsidR="00197EFD" w:rsidRPr="005E0273" w:rsidRDefault="00197EFD" w:rsidP="006D2321">
            <w:pPr>
              <w:spacing w:line="120" w:lineRule="exact"/>
              <w:rPr>
                <w:rFonts w:cs="Arial"/>
                <w:sz w:val="19"/>
                <w:szCs w:val="19"/>
              </w:rPr>
            </w:pPr>
            <w:bookmarkStart w:id="0" w:name="_Hlk60567136"/>
          </w:p>
          <w:p w14:paraId="64AC0D3C" w14:textId="77777777" w:rsidR="00197EFD" w:rsidRPr="002A229C" w:rsidRDefault="00197EFD"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2A229C">
              <w:rPr>
                <w:rFonts w:cs="Arial"/>
                <w:sz w:val="19"/>
                <w:szCs w:val="19"/>
              </w:rPr>
              <w:t>Bij een kwijtscheldingsnorm van</w:t>
            </w:r>
          </w:p>
        </w:tc>
        <w:tc>
          <w:tcPr>
            <w:tcW w:w="1275" w:type="dxa"/>
            <w:vMerge w:val="restart"/>
          </w:tcPr>
          <w:p w14:paraId="37849369" w14:textId="77777777" w:rsidR="00197EFD" w:rsidRPr="002A229C" w:rsidRDefault="00197EFD" w:rsidP="006D2321">
            <w:pPr>
              <w:spacing w:line="120" w:lineRule="exact"/>
              <w:jc w:val="center"/>
              <w:rPr>
                <w:rFonts w:cs="Arial"/>
                <w:sz w:val="19"/>
                <w:szCs w:val="19"/>
              </w:rPr>
            </w:pPr>
          </w:p>
          <w:p w14:paraId="7417EA19" w14:textId="77777777" w:rsidR="00197EFD" w:rsidRPr="002A229C" w:rsidRDefault="00197EFD"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center"/>
              <w:rPr>
                <w:rFonts w:cs="Arial"/>
                <w:sz w:val="19"/>
                <w:szCs w:val="19"/>
              </w:rPr>
            </w:pPr>
            <w:r w:rsidRPr="002A229C">
              <w:rPr>
                <w:rFonts w:cs="Arial"/>
                <w:sz w:val="19"/>
                <w:szCs w:val="19"/>
              </w:rPr>
              <w:t>90%</w:t>
            </w:r>
          </w:p>
        </w:tc>
        <w:tc>
          <w:tcPr>
            <w:tcW w:w="1276" w:type="dxa"/>
            <w:vMerge w:val="restart"/>
          </w:tcPr>
          <w:p w14:paraId="547CC1CF" w14:textId="77777777" w:rsidR="00197EFD" w:rsidRPr="002A229C" w:rsidRDefault="00197EFD" w:rsidP="006D2321">
            <w:pPr>
              <w:spacing w:line="120" w:lineRule="exact"/>
              <w:jc w:val="center"/>
              <w:rPr>
                <w:rFonts w:cs="Arial"/>
                <w:sz w:val="19"/>
                <w:szCs w:val="19"/>
              </w:rPr>
            </w:pPr>
          </w:p>
          <w:p w14:paraId="5123FE6F" w14:textId="77777777" w:rsidR="00197EFD" w:rsidRPr="002A229C" w:rsidRDefault="00197EFD"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center"/>
              <w:rPr>
                <w:rFonts w:cs="Arial"/>
                <w:sz w:val="19"/>
                <w:szCs w:val="19"/>
              </w:rPr>
            </w:pPr>
            <w:r w:rsidRPr="002A229C">
              <w:rPr>
                <w:rFonts w:cs="Arial"/>
                <w:sz w:val="19"/>
                <w:szCs w:val="19"/>
              </w:rPr>
              <w:t>95%</w:t>
            </w:r>
          </w:p>
        </w:tc>
        <w:tc>
          <w:tcPr>
            <w:tcW w:w="1276" w:type="dxa"/>
            <w:vMerge w:val="restart"/>
          </w:tcPr>
          <w:p w14:paraId="6CE4D92A" w14:textId="77777777" w:rsidR="00197EFD" w:rsidRPr="002A229C" w:rsidRDefault="00197EFD" w:rsidP="006D2321">
            <w:pPr>
              <w:spacing w:line="120" w:lineRule="exact"/>
              <w:jc w:val="center"/>
              <w:rPr>
                <w:rFonts w:cs="Arial"/>
                <w:sz w:val="19"/>
                <w:szCs w:val="19"/>
              </w:rPr>
            </w:pPr>
          </w:p>
          <w:p w14:paraId="226C0F3B" w14:textId="724AA561" w:rsidR="00197EFD" w:rsidRPr="005E0273" w:rsidRDefault="00197EFD" w:rsidP="000C067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center"/>
              <w:rPr>
                <w:rFonts w:cs="Arial"/>
                <w:sz w:val="19"/>
                <w:szCs w:val="19"/>
              </w:rPr>
            </w:pPr>
            <w:r w:rsidRPr="002A229C">
              <w:rPr>
                <w:rFonts w:cs="Arial"/>
                <w:sz w:val="19"/>
                <w:szCs w:val="19"/>
              </w:rPr>
              <w:t>100%</w:t>
            </w:r>
            <w:r w:rsidR="00F04A5C" w:rsidRPr="002A229C">
              <w:rPr>
                <w:rStyle w:val="Voetnootmarkering"/>
                <w:rFonts w:cs="Arial"/>
                <w:sz w:val="19"/>
                <w:szCs w:val="19"/>
                <w:vertAlign w:val="superscript"/>
              </w:rPr>
              <w:footnoteReference w:id="2"/>
            </w:r>
          </w:p>
        </w:tc>
      </w:tr>
      <w:tr w:rsidR="00BC5011" w:rsidRPr="00BC5011" w14:paraId="36D2A4ED" w14:textId="77777777" w:rsidTr="00D359C3">
        <w:trPr>
          <w:cantSplit/>
        </w:trPr>
        <w:tc>
          <w:tcPr>
            <w:tcW w:w="5683" w:type="dxa"/>
            <w:gridSpan w:val="2"/>
          </w:tcPr>
          <w:p w14:paraId="237AE48B" w14:textId="77777777" w:rsidR="00197EFD" w:rsidRPr="00BC5011" w:rsidRDefault="00197EFD" w:rsidP="006D2321">
            <w:pPr>
              <w:spacing w:line="120" w:lineRule="exact"/>
              <w:rPr>
                <w:rFonts w:cs="Arial"/>
                <w:sz w:val="19"/>
                <w:szCs w:val="19"/>
              </w:rPr>
            </w:pPr>
          </w:p>
          <w:p w14:paraId="3C9E6929" w14:textId="77777777" w:rsidR="00197EFD" w:rsidRPr="00BC5011" w:rsidRDefault="00197EFD"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is het bedrag van de kosten van bestaan</w:t>
            </w:r>
            <w:r w:rsidR="000C4C76" w:rsidRPr="00BC5011">
              <w:rPr>
                <w:rFonts w:cs="Arial"/>
                <w:sz w:val="19"/>
                <w:szCs w:val="19"/>
              </w:rPr>
              <w:t xml:space="preserve"> (in euro)</w:t>
            </w:r>
          </w:p>
        </w:tc>
        <w:tc>
          <w:tcPr>
            <w:tcW w:w="1275" w:type="dxa"/>
            <w:vMerge/>
          </w:tcPr>
          <w:p w14:paraId="24351A5F" w14:textId="77777777" w:rsidR="00197EFD" w:rsidRPr="00BC5011" w:rsidRDefault="00197EFD"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p>
        </w:tc>
        <w:tc>
          <w:tcPr>
            <w:tcW w:w="1276" w:type="dxa"/>
            <w:vMerge/>
          </w:tcPr>
          <w:p w14:paraId="24416523" w14:textId="77777777" w:rsidR="00197EFD" w:rsidRPr="00BC5011" w:rsidRDefault="00197EFD"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p>
        </w:tc>
        <w:tc>
          <w:tcPr>
            <w:tcW w:w="1276" w:type="dxa"/>
            <w:vMerge/>
          </w:tcPr>
          <w:p w14:paraId="7BD1B326" w14:textId="77777777" w:rsidR="00197EFD" w:rsidRPr="00BC5011" w:rsidRDefault="00197EFD"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p>
        </w:tc>
      </w:tr>
      <w:tr w:rsidR="00BC5011" w:rsidRPr="00BC5011" w14:paraId="0E2BE9CA" w14:textId="77777777" w:rsidTr="00D359C3">
        <w:trPr>
          <w:cantSplit/>
        </w:trPr>
        <w:tc>
          <w:tcPr>
            <w:tcW w:w="1572" w:type="dxa"/>
            <w:vMerge w:val="restart"/>
          </w:tcPr>
          <w:p w14:paraId="4A0DF622" w14:textId="77777777" w:rsidR="00DC58F0" w:rsidRPr="00BC5011" w:rsidRDefault="00DC58F0" w:rsidP="006D2321">
            <w:pPr>
              <w:spacing w:line="120" w:lineRule="exact"/>
              <w:rPr>
                <w:rFonts w:cs="Arial"/>
                <w:sz w:val="19"/>
                <w:szCs w:val="19"/>
              </w:rPr>
            </w:pPr>
          </w:p>
          <w:p w14:paraId="14A84E9F" w14:textId="77777777" w:rsidR="00DC58F0" w:rsidRPr="00BC5011" w:rsidRDefault="00DC58F0"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Echtgenoten</w:t>
            </w:r>
          </w:p>
        </w:tc>
        <w:tc>
          <w:tcPr>
            <w:tcW w:w="4111" w:type="dxa"/>
          </w:tcPr>
          <w:p w14:paraId="17DCDC31" w14:textId="77777777" w:rsidR="00DC58F0" w:rsidRPr="00BC5011" w:rsidRDefault="00DC58F0" w:rsidP="006D2321">
            <w:pPr>
              <w:spacing w:line="120" w:lineRule="exact"/>
              <w:rPr>
                <w:rFonts w:cs="Arial"/>
                <w:sz w:val="19"/>
                <w:szCs w:val="19"/>
              </w:rPr>
            </w:pPr>
          </w:p>
          <w:p w14:paraId="0EF800A5" w14:textId="77777777" w:rsidR="00DC58F0" w:rsidRPr="00BC5011" w:rsidRDefault="00DC58F0" w:rsidP="0038350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beide partners ≥ 21 jaar tot AOW-gerechtigde leeftijd</w:t>
            </w:r>
          </w:p>
        </w:tc>
        <w:tc>
          <w:tcPr>
            <w:tcW w:w="1275" w:type="dxa"/>
            <w:vAlign w:val="center"/>
          </w:tcPr>
          <w:p w14:paraId="5B3D804C" w14:textId="67D5141A" w:rsidR="00DC58F0" w:rsidRPr="00BC5011" w:rsidRDefault="005C4E45" w:rsidP="00C4079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r>
              <w:rPr>
                <w:rFonts w:cs="Arial"/>
                <w:sz w:val="19"/>
                <w:szCs w:val="19"/>
              </w:rPr>
              <w:t>1.730</w:t>
            </w:r>
            <w:r w:rsidR="00397814">
              <w:rPr>
                <w:rFonts w:cs="Arial"/>
                <w:sz w:val="19"/>
                <w:szCs w:val="19"/>
              </w:rPr>
              <w:t>,00</w:t>
            </w:r>
          </w:p>
        </w:tc>
        <w:tc>
          <w:tcPr>
            <w:tcW w:w="1276" w:type="dxa"/>
            <w:vAlign w:val="center"/>
          </w:tcPr>
          <w:p w14:paraId="616FD2F3" w14:textId="7DC7876E" w:rsidR="006F0A4B" w:rsidRPr="00BC5011" w:rsidRDefault="005C4E45" w:rsidP="00C4079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r>
              <w:rPr>
                <w:rFonts w:cs="Arial"/>
                <w:sz w:val="19"/>
                <w:szCs w:val="19"/>
              </w:rPr>
              <w:t>1.826</w:t>
            </w:r>
            <w:r w:rsidR="00397814">
              <w:rPr>
                <w:rFonts w:cs="Arial"/>
                <w:sz w:val="19"/>
                <w:szCs w:val="19"/>
              </w:rPr>
              <w:t>,00</w:t>
            </w:r>
          </w:p>
        </w:tc>
        <w:tc>
          <w:tcPr>
            <w:tcW w:w="1276" w:type="dxa"/>
            <w:vAlign w:val="center"/>
          </w:tcPr>
          <w:p w14:paraId="19FCB156" w14:textId="4683CAA4" w:rsidR="00DC58F0" w:rsidRPr="00BC5011" w:rsidRDefault="0001318E" w:rsidP="00C4079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1.922,07</w:t>
            </w:r>
          </w:p>
        </w:tc>
      </w:tr>
      <w:tr w:rsidR="00BC5011" w:rsidRPr="00BC5011" w14:paraId="0824F0C5" w14:textId="77777777" w:rsidTr="00D359C3">
        <w:trPr>
          <w:cantSplit/>
        </w:trPr>
        <w:tc>
          <w:tcPr>
            <w:tcW w:w="1572" w:type="dxa"/>
            <w:vMerge/>
          </w:tcPr>
          <w:p w14:paraId="45B4B10A" w14:textId="77777777" w:rsidR="00DC58F0" w:rsidRPr="00BC5011" w:rsidRDefault="00DC58F0"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p>
        </w:tc>
        <w:tc>
          <w:tcPr>
            <w:tcW w:w="4111" w:type="dxa"/>
            <w:vAlign w:val="center"/>
          </w:tcPr>
          <w:p w14:paraId="3FF8B17D" w14:textId="77777777" w:rsidR="00DC58F0" w:rsidRPr="00BC5011" w:rsidRDefault="00DC58F0" w:rsidP="006D2321">
            <w:pPr>
              <w:spacing w:line="120" w:lineRule="exact"/>
              <w:rPr>
                <w:rFonts w:cs="Arial"/>
                <w:sz w:val="19"/>
                <w:szCs w:val="19"/>
              </w:rPr>
            </w:pPr>
          </w:p>
          <w:p w14:paraId="42BDCE9E" w14:textId="13BD59EA" w:rsidR="00DC58F0" w:rsidRPr="00BC5011" w:rsidRDefault="00773D09" w:rsidP="00F04A5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beide partners AOW-gerechtigd</w:t>
            </w:r>
          </w:p>
        </w:tc>
        <w:tc>
          <w:tcPr>
            <w:tcW w:w="1275" w:type="dxa"/>
            <w:vAlign w:val="center"/>
          </w:tcPr>
          <w:p w14:paraId="1EA411C6" w14:textId="0EBE522E" w:rsidR="00DC58F0" w:rsidRPr="00BC5011" w:rsidRDefault="005C4E45" w:rsidP="005E02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r>
              <w:rPr>
                <w:rFonts w:cs="Arial"/>
                <w:sz w:val="19"/>
                <w:szCs w:val="19"/>
              </w:rPr>
              <w:t>1.849</w:t>
            </w:r>
            <w:r w:rsidR="00397814">
              <w:rPr>
                <w:rFonts w:cs="Arial"/>
                <w:sz w:val="19"/>
                <w:szCs w:val="19"/>
              </w:rPr>
              <w:t>,00</w:t>
            </w:r>
          </w:p>
        </w:tc>
        <w:tc>
          <w:tcPr>
            <w:tcW w:w="1276" w:type="dxa"/>
            <w:vAlign w:val="center"/>
          </w:tcPr>
          <w:p w14:paraId="174A91BA" w14:textId="742F27F2" w:rsidR="00DC58F0" w:rsidRPr="00BC5011" w:rsidRDefault="005C4E45" w:rsidP="00D66A7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1.951</w:t>
            </w:r>
            <w:r w:rsidR="00397814">
              <w:rPr>
                <w:rFonts w:cs="Arial"/>
                <w:sz w:val="19"/>
                <w:szCs w:val="19"/>
              </w:rPr>
              <w:t>,00</w:t>
            </w:r>
          </w:p>
        </w:tc>
        <w:tc>
          <w:tcPr>
            <w:tcW w:w="1276" w:type="dxa"/>
            <w:vAlign w:val="center"/>
          </w:tcPr>
          <w:p w14:paraId="22C55A46" w14:textId="36FC9AB2" w:rsidR="00DC58F0" w:rsidRPr="00BC5011" w:rsidRDefault="0001318E" w:rsidP="00D66A7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2.053,48</w:t>
            </w:r>
          </w:p>
        </w:tc>
      </w:tr>
      <w:tr w:rsidR="00BC5011" w:rsidRPr="00BC5011" w14:paraId="449CA97D" w14:textId="77777777" w:rsidTr="00D359C3">
        <w:trPr>
          <w:cantSplit/>
        </w:trPr>
        <w:tc>
          <w:tcPr>
            <w:tcW w:w="1572" w:type="dxa"/>
            <w:vMerge/>
          </w:tcPr>
          <w:p w14:paraId="0C357808" w14:textId="77777777" w:rsidR="00DC58F0" w:rsidRPr="00BC5011" w:rsidRDefault="00DC58F0"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p>
        </w:tc>
        <w:tc>
          <w:tcPr>
            <w:tcW w:w="4111" w:type="dxa"/>
          </w:tcPr>
          <w:p w14:paraId="7A4A82CD" w14:textId="77777777" w:rsidR="00DC58F0" w:rsidRPr="00BC5011" w:rsidRDefault="00DC58F0" w:rsidP="006D2321">
            <w:pPr>
              <w:spacing w:line="120" w:lineRule="exact"/>
              <w:rPr>
                <w:rFonts w:cs="Arial"/>
                <w:sz w:val="19"/>
                <w:szCs w:val="19"/>
              </w:rPr>
            </w:pPr>
          </w:p>
          <w:p w14:paraId="1788DFA5" w14:textId="455E8B4B" w:rsidR="00DC58F0" w:rsidRPr="00BC5011" w:rsidRDefault="00773D09" w:rsidP="004B584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één partner AOW-gerechtigd en andere partner ≥ 2</w:t>
            </w:r>
            <w:r w:rsidR="00C851FF" w:rsidRPr="00BC5011">
              <w:rPr>
                <w:rFonts w:cs="Arial"/>
                <w:sz w:val="19"/>
                <w:szCs w:val="19"/>
              </w:rPr>
              <w:t>1 jaar maar niet AOW-gerechtigd</w:t>
            </w:r>
          </w:p>
        </w:tc>
        <w:tc>
          <w:tcPr>
            <w:tcW w:w="1275" w:type="dxa"/>
            <w:vAlign w:val="center"/>
          </w:tcPr>
          <w:p w14:paraId="78F88971" w14:textId="601E2613" w:rsidR="00CE340F" w:rsidRPr="00BC5011" w:rsidRDefault="00636C0C" w:rsidP="007A5FC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1.849</w:t>
            </w:r>
            <w:r w:rsidR="003307E1">
              <w:rPr>
                <w:rFonts w:cs="Arial"/>
                <w:sz w:val="19"/>
                <w:szCs w:val="19"/>
              </w:rPr>
              <w:t>,00</w:t>
            </w:r>
            <w:r w:rsidR="000B63B3" w:rsidRPr="00BC5011">
              <w:rPr>
                <w:rFonts w:cs="Arial"/>
                <w:sz w:val="19"/>
                <w:szCs w:val="19"/>
              </w:rPr>
              <w:t xml:space="preserve"> </w:t>
            </w:r>
          </w:p>
        </w:tc>
        <w:tc>
          <w:tcPr>
            <w:tcW w:w="1276" w:type="dxa"/>
            <w:vAlign w:val="center"/>
          </w:tcPr>
          <w:p w14:paraId="71BD9F58" w14:textId="7C9524E6" w:rsidR="00DC58F0" w:rsidRPr="00BC5011" w:rsidRDefault="005C4E45" w:rsidP="007A5FC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1.951</w:t>
            </w:r>
            <w:r w:rsidR="00013AF9">
              <w:rPr>
                <w:rFonts w:cs="Arial"/>
                <w:sz w:val="19"/>
                <w:szCs w:val="19"/>
              </w:rPr>
              <w:t>,</w:t>
            </w:r>
            <w:r w:rsidR="003307E1">
              <w:rPr>
                <w:rFonts w:cs="Arial"/>
                <w:sz w:val="19"/>
                <w:szCs w:val="19"/>
              </w:rPr>
              <w:t>00</w:t>
            </w:r>
            <w:r w:rsidR="000B63B3" w:rsidRPr="00BC5011">
              <w:rPr>
                <w:rFonts w:cs="Arial"/>
                <w:sz w:val="19"/>
                <w:szCs w:val="19"/>
              </w:rPr>
              <w:t xml:space="preserve"> </w:t>
            </w:r>
          </w:p>
        </w:tc>
        <w:tc>
          <w:tcPr>
            <w:tcW w:w="1276" w:type="dxa"/>
            <w:vAlign w:val="center"/>
          </w:tcPr>
          <w:p w14:paraId="1296F75F" w14:textId="2C31609F" w:rsidR="00DC58F0" w:rsidRPr="00BC5011" w:rsidRDefault="0001318E" w:rsidP="005E02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r>
              <w:rPr>
                <w:rFonts w:cs="Arial"/>
                <w:sz w:val="19"/>
                <w:szCs w:val="19"/>
              </w:rPr>
              <w:t>2.053,48</w:t>
            </w:r>
          </w:p>
        </w:tc>
      </w:tr>
      <w:tr w:rsidR="00BC5011" w:rsidRPr="00BC5011" w14:paraId="79D4C4B2" w14:textId="77777777" w:rsidTr="00D359C3">
        <w:trPr>
          <w:cantSplit/>
          <w:trHeight w:val="502"/>
        </w:trPr>
        <w:tc>
          <w:tcPr>
            <w:tcW w:w="1572" w:type="dxa"/>
            <w:vMerge w:val="restart"/>
          </w:tcPr>
          <w:p w14:paraId="491F002B" w14:textId="77777777" w:rsidR="00DC58F0" w:rsidRPr="00BC5011" w:rsidRDefault="00DC58F0" w:rsidP="006D2321">
            <w:pPr>
              <w:spacing w:line="120" w:lineRule="exact"/>
              <w:rPr>
                <w:rFonts w:cs="Arial"/>
                <w:sz w:val="19"/>
                <w:szCs w:val="19"/>
              </w:rPr>
            </w:pPr>
          </w:p>
          <w:p w14:paraId="455650B5" w14:textId="77777777" w:rsidR="00DC58F0" w:rsidRPr="00BC5011" w:rsidRDefault="00DC58F0"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Alleenstaande ouder</w:t>
            </w:r>
          </w:p>
        </w:tc>
        <w:tc>
          <w:tcPr>
            <w:tcW w:w="4111" w:type="dxa"/>
            <w:vAlign w:val="center"/>
          </w:tcPr>
          <w:p w14:paraId="1B62F67D" w14:textId="77777777" w:rsidR="00DC58F0" w:rsidRPr="00BC5011" w:rsidRDefault="00DC58F0" w:rsidP="008D585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 21 jaar, maar niet AOW-gerechtigd</w:t>
            </w:r>
          </w:p>
        </w:tc>
        <w:tc>
          <w:tcPr>
            <w:tcW w:w="1275" w:type="dxa"/>
            <w:vAlign w:val="center"/>
          </w:tcPr>
          <w:p w14:paraId="3E96DEDE" w14:textId="4AF2A60C" w:rsidR="00DC58F0" w:rsidRPr="00BC5011" w:rsidRDefault="00636C0C" w:rsidP="00C4079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1.211</w:t>
            </w:r>
            <w:r w:rsidR="003307E1">
              <w:rPr>
                <w:rFonts w:cs="Arial"/>
                <w:sz w:val="19"/>
                <w:szCs w:val="19"/>
              </w:rPr>
              <w:t>,00</w:t>
            </w:r>
          </w:p>
        </w:tc>
        <w:tc>
          <w:tcPr>
            <w:tcW w:w="1276" w:type="dxa"/>
            <w:shd w:val="clear" w:color="auto" w:fill="auto"/>
            <w:vAlign w:val="center"/>
          </w:tcPr>
          <w:p w14:paraId="3CF0D319" w14:textId="0573358C" w:rsidR="00DC58F0" w:rsidRPr="00BC5011" w:rsidRDefault="00636C0C" w:rsidP="00C4079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1.279</w:t>
            </w:r>
            <w:r w:rsidR="003307E1">
              <w:rPr>
                <w:rFonts w:cs="Arial"/>
                <w:sz w:val="19"/>
                <w:szCs w:val="19"/>
              </w:rPr>
              <w:t>,00</w:t>
            </w:r>
          </w:p>
        </w:tc>
        <w:tc>
          <w:tcPr>
            <w:tcW w:w="1276" w:type="dxa"/>
            <w:vAlign w:val="center"/>
          </w:tcPr>
          <w:p w14:paraId="7DDF47DC" w14:textId="5A1A9975" w:rsidR="00DC58F0" w:rsidRPr="00BC5011" w:rsidRDefault="0001318E" w:rsidP="00C4079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1.345,45</w:t>
            </w:r>
          </w:p>
        </w:tc>
      </w:tr>
      <w:tr w:rsidR="00BC5011" w:rsidRPr="00BC5011" w14:paraId="27EB58B1" w14:textId="77777777" w:rsidTr="00D359C3">
        <w:trPr>
          <w:cantSplit/>
          <w:trHeight w:val="564"/>
        </w:trPr>
        <w:tc>
          <w:tcPr>
            <w:tcW w:w="1572" w:type="dxa"/>
            <w:vMerge/>
          </w:tcPr>
          <w:p w14:paraId="728AD194" w14:textId="77777777" w:rsidR="00DC58F0" w:rsidRPr="00BC5011" w:rsidRDefault="00DC58F0"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p>
        </w:tc>
        <w:tc>
          <w:tcPr>
            <w:tcW w:w="4111" w:type="dxa"/>
            <w:vAlign w:val="center"/>
          </w:tcPr>
          <w:p w14:paraId="529710C7" w14:textId="77777777" w:rsidR="00DC58F0" w:rsidRPr="00BC5011" w:rsidRDefault="00DC58F0" w:rsidP="00BA6143">
            <w:pPr>
              <w:spacing w:line="120" w:lineRule="exact"/>
              <w:rPr>
                <w:rFonts w:cs="Arial"/>
                <w:sz w:val="19"/>
                <w:szCs w:val="19"/>
              </w:rPr>
            </w:pPr>
          </w:p>
          <w:p w14:paraId="086B7F6F" w14:textId="1353D8CC" w:rsidR="00DC58F0" w:rsidRPr="00BC5011" w:rsidRDefault="00DC58F0" w:rsidP="00BA614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AOW-gerechtigd</w:t>
            </w:r>
          </w:p>
        </w:tc>
        <w:tc>
          <w:tcPr>
            <w:tcW w:w="1275" w:type="dxa"/>
            <w:shd w:val="clear" w:color="auto" w:fill="auto"/>
            <w:vAlign w:val="center"/>
          </w:tcPr>
          <w:p w14:paraId="1F047056" w14:textId="5D87BD83" w:rsidR="00DC58F0" w:rsidRPr="00BC5011" w:rsidRDefault="00636C0C" w:rsidP="004C68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1.351</w:t>
            </w:r>
            <w:r w:rsidR="003307E1">
              <w:rPr>
                <w:rFonts w:cs="Arial"/>
                <w:sz w:val="19"/>
                <w:szCs w:val="19"/>
              </w:rPr>
              <w:t>,00</w:t>
            </w:r>
            <w:r w:rsidR="000B63B3" w:rsidRPr="00BC5011">
              <w:rPr>
                <w:rFonts w:cs="Arial"/>
                <w:sz w:val="19"/>
                <w:szCs w:val="19"/>
              </w:rPr>
              <w:t xml:space="preserve"> </w:t>
            </w:r>
          </w:p>
        </w:tc>
        <w:tc>
          <w:tcPr>
            <w:tcW w:w="1276" w:type="dxa"/>
            <w:shd w:val="clear" w:color="auto" w:fill="auto"/>
            <w:vAlign w:val="center"/>
          </w:tcPr>
          <w:p w14:paraId="085650C3" w14:textId="4507950F" w:rsidR="00DC58F0" w:rsidRPr="00BC5011" w:rsidRDefault="00636C0C" w:rsidP="004C68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1.427</w:t>
            </w:r>
            <w:r w:rsidR="003307E1">
              <w:rPr>
                <w:rFonts w:cs="Arial"/>
                <w:sz w:val="19"/>
                <w:szCs w:val="19"/>
              </w:rPr>
              <w:t>,00</w:t>
            </w:r>
            <w:r w:rsidR="000B63B3" w:rsidRPr="00BC5011">
              <w:rPr>
                <w:rFonts w:cs="Arial"/>
                <w:sz w:val="19"/>
                <w:szCs w:val="19"/>
              </w:rPr>
              <w:t xml:space="preserve"> </w:t>
            </w:r>
          </w:p>
        </w:tc>
        <w:tc>
          <w:tcPr>
            <w:tcW w:w="1276" w:type="dxa"/>
            <w:shd w:val="clear" w:color="auto" w:fill="auto"/>
            <w:vAlign w:val="center"/>
          </w:tcPr>
          <w:p w14:paraId="7265012F" w14:textId="64F8D346" w:rsidR="00DC58F0" w:rsidRPr="00BC5011" w:rsidRDefault="005C4E45" w:rsidP="005E02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r>
              <w:rPr>
                <w:rFonts w:cs="Arial"/>
                <w:sz w:val="19"/>
                <w:szCs w:val="19"/>
              </w:rPr>
              <w:t>1.501,07</w:t>
            </w:r>
          </w:p>
        </w:tc>
      </w:tr>
      <w:tr w:rsidR="00BC5011" w:rsidRPr="00BC5011" w14:paraId="0257380E" w14:textId="77777777" w:rsidTr="00D359C3">
        <w:trPr>
          <w:cantSplit/>
        </w:trPr>
        <w:tc>
          <w:tcPr>
            <w:tcW w:w="1572" w:type="dxa"/>
            <w:vMerge w:val="restart"/>
          </w:tcPr>
          <w:p w14:paraId="0AB65871" w14:textId="77777777" w:rsidR="00DC58F0" w:rsidRPr="00BC5011" w:rsidRDefault="00DC58F0" w:rsidP="006D2321">
            <w:pPr>
              <w:spacing w:line="120" w:lineRule="exact"/>
              <w:rPr>
                <w:rFonts w:cs="Arial"/>
                <w:sz w:val="19"/>
                <w:szCs w:val="19"/>
              </w:rPr>
            </w:pPr>
          </w:p>
          <w:p w14:paraId="106BAE3C" w14:textId="77777777" w:rsidR="00DC58F0" w:rsidRPr="00BC5011" w:rsidRDefault="00DC58F0"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Alleenstaande</w:t>
            </w:r>
          </w:p>
        </w:tc>
        <w:tc>
          <w:tcPr>
            <w:tcW w:w="4111" w:type="dxa"/>
          </w:tcPr>
          <w:p w14:paraId="0E07FCB5" w14:textId="77777777" w:rsidR="00DC58F0" w:rsidRPr="00BC5011" w:rsidRDefault="00DC58F0" w:rsidP="006D2321">
            <w:pPr>
              <w:spacing w:line="120" w:lineRule="exact"/>
              <w:rPr>
                <w:rFonts w:cs="Arial"/>
                <w:sz w:val="19"/>
                <w:szCs w:val="19"/>
              </w:rPr>
            </w:pPr>
          </w:p>
          <w:p w14:paraId="6376551D" w14:textId="77777777" w:rsidR="00DC58F0" w:rsidRPr="00BC5011" w:rsidRDefault="00DC58F0" w:rsidP="004B584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 21 jaar, maar niet AOW-gerechtigd</w:t>
            </w:r>
          </w:p>
        </w:tc>
        <w:tc>
          <w:tcPr>
            <w:tcW w:w="1275" w:type="dxa"/>
            <w:vAlign w:val="center"/>
          </w:tcPr>
          <w:p w14:paraId="4DAC1D90" w14:textId="621ACE98" w:rsidR="00DC58F0" w:rsidRPr="00BC5011" w:rsidRDefault="00636C0C" w:rsidP="004E68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r>
              <w:rPr>
                <w:rFonts w:cs="Arial"/>
                <w:sz w:val="19"/>
                <w:szCs w:val="19"/>
              </w:rPr>
              <w:t>1.211</w:t>
            </w:r>
            <w:r w:rsidR="00013AF9">
              <w:rPr>
                <w:rFonts w:cs="Arial"/>
                <w:sz w:val="19"/>
                <w:szCs w:val="19"/>
              </w:rPr>
              <w:t>,</w:t>
            </w:r>
            <w:r w:rsidR="003307E1">
              <w:rPr>
                <w:rFonts w:cs="Arial"/>
                <w:sz w:val="19"/>
                <w:szCs w:val="19"/>
              </w:rPr>
              <w:t>00</w:t>
            </w:r>
          </w:p>
        </w:tc>
        <w:tc>
          <w:tcPr>
            <w:tcW w:w="1276" w:type="dxa"/>
            <w:vAlign w:val="center"/>
          </w:tcPr>
          <w:p w14:paraId="5EF709F5" w14:textId="1913FD3E" w:rsidR="00DC58F0" w:rsidRPr="00BC5011" w:rsidRDefault="00636C0C" w:rsidP="004E68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r>
              <w:rPr>
                <w:rFonts w:cs="Arial"/>
                <w:sz w:val="19"/>
                <w:szCs w:val="19"/>
              </w:rPr>
              <w:t>1.279</w:t>
            </w:r>
            <w:r w:rsidR="00013AF9">
              <w:rPr>
                <w:rFonts w:cs="Arial"/>
                <w:sz w:val="19"/>
                <w:szCs w:val="19"/>
              </w:rPr>
              <w:t>,</w:t>
            </w:r>
            <w:r w:rsidR="003307E1">
              <w:rPr>
                <w:rFonts w:cs="Arial"/>
                <w:sz w:val="19"/>
                <w:szCs w:val="19"/>
              </w:rPr>
              <w:t>00</w:t>
            </w:r>
          </w:p>
        </w:tc>
        <w:tc>
          <w:tcPr>
            <w:tcW w:w="1276" w:type="dxa"/>
            <w:vAlign w:val="center"/>
          </w:tcPr>
          <w:p w14:paraId="4645E461" w14:textId="78C736A4" w:rsidR="00DC58F0" w:rsidRPr="00BC5011" w:rsidRDefault="005C4E45" w:rsidP="004E68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rPr>
            </w:pPr>
            <w:r>
              <w:rPr>
                <w:rFonts w:cs="Arial"/>
                <w:sz w:val="19"/>
                <w:szCs w:val="19"/>
              </w:rPr>
              <w:t>1.3</w:t>
            </w:r>
            <w:r w:rsidR="009908A9">
              <w:rPr>
                <w:rFonts w:cs="Arial"/>
                <w:sz w:val="19"/>
                <w:szCs w:val="19"/>
              </w:rPr>
              <w:t>4</w:t>
            </w:r>
            <w:r>
              <w:rPr>
                <w:rFonts w:cs="Arial"/>
                <w:sz w:val="19"/>
                <w:szCs w:val="19"/>
              </w:rPr>
              <w:t>5,45</w:t>
            </w:r>
          </w:p>
        </w:tc>
      </w:tr>
      <w:tr w:rsidR="00DC58F0" w:rsidRPr="00BC5011" w14:paraId="75C4EC53" w14:textId="77777777" w:rsidTr="00D359C3">
        <w:trPr>
          <w:cantSplit/>
        </w:trPr>
        <w:tc>
          <w:tcPr>
            <w:tcW w:w="1572" w:type="dxa"/>
            <w:vMerge/>
          </w:tcPr>
          <w:p w14:paraId="670E2A41" w14:textId="77777777" w:rsidR="00DC58F0" w:rsidRPr="00BC5011" w:rsidRDefault="00DC58F0" w:rsidP="006D2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p>
        </w:tc>
        <w:tc>
          <w:tcPr>
            <w:tcW w:w="4111" w:type="dxa"/>
          </w:tcPr>
          <w:p w14:paraId="2577F029" w14:textId="77777777" w:rsidR="00DC58F0" w:rsidRPr="00BC5011" w:rsidRDefault="00DC58F0" w:rsidP="006D2321">
            <w:pPr>
              <w:spacing w:line="120" w:lineRule="exact"/>
              <w:rPr>
                <w:rFonts w:cs="Arial"/>
                <w:sz w:val="19"/>
                <w:szCs w:val="19"/>
              </w:rPr>
            </w:pPr>
          </w:p>
          <w:p w14:paraId="054518A2" w14:textId="492A8DF6" w:rsidR="00DC58F0" w:rsidRPr="00BC5011" w:rsidRDefault="00DC58F0" w:rsidP="00BA614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rPr>
                <w:rFonts w:cs="Arial"/>
                <w:sz w:val="19"/>
                <w:szCs w:val="19"/>
              </w:rPr>
            </w:pPr>
            <w:r w:rsidRPr="00BC5011">
              <w:rPr>
                <w:rFonts w:cs="Arial"/>
                <w:sz w:val="19"/>
                <w:szCs w:val="19"/>
              </w:rPr>
              <w:t>AOW-gerechtigd</w:t>
            </w:r>
          </w:p>
        </w:tc>
        <w:tc>
          <w:tcPr>
            <w:tcW w:w="1275" w:type="dxa"/>
            <w:vAlign w:val="center"/>
          </w:tcPr>
          <w:p w14:paraId="46CEBA1F" w14:textId="1A218305" w:rsidR="00DC58F0" w:rsidRPr="00BC5011" w:rsidRDefault="00636C0C" w:rsidP="004C68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highlight w:val="yellow"/>
              </w:rPr>
            </w:pPr>
            <w:r>
              <w:rPr>
                <w:rFonts w:cs="Arial"/>
                <w:sz w:val="19"/>
                <w:szCs w:val="19"/>
              </w:rPr>
              <w:t>1.351</w:t>
            </w:r>
            <w:r w:rsidR="00397814">
              <w:rPr>
                <w:rFonts w:cs="Arial"/>
                <w:sz w:val="19"/>
                <w:szCs w:val="19"/>
              </w:rPr>
              <w:t>,</w:t>
            </w:r>
            <w:r w:rsidR="003307E1">
              <w:rPr>
                <w:rFonts w:cs="Arial"/>
                <w:sz w:val="19"/>
                <w:szCs w:val="19"/>
              </w:rPr>
              <w:t>00</w:t>
            </w:r>
          </w:p>
        </w:tc>
        <w:tc>
          <w:tcPr>
            <w:tcW w:w="1276" w:type="dxa"/>
            <w:vAlign w:val="center"/>
          </w:tcPr>
          <w:p w14:paraId="03C704BE" w14:textId="56202747" w:rsidR="00DC58F0" w:rsidRPr="00BC5011" w:rsidRDefault="00636C0C" w:rsidP="004C68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lang w:val="en-US"/>
              </w:rPr>
            </w:pPr>
            <w:r>
              <w:rPr>
                <w:rFonts w:cs="Arial"/>
                <w:sz w:val="19"/>
                <w:szCs w:val="19"/>
                <w:lang w:val="en-US"/>
              </w:rPr>
              <w:t>1.427</w:t>
            </w:r>
            <w:r w:rsidR="003307E1">
              <w:rPr>
                <w:rFonts w:cs="Arial"/>
                <w:sz w:val="19"/>
                <w:szCs w:val="19"/>
                <w:lang w:val="en-US"/>
              </w:rPr>
              <w:t>,00</w:t>
            </w:r>
          </w:p>
        </w:tc>
        <w:tc>
          <w:tcPr>
            <w:tcW w:w="1276" w:type="dxa"/>
            <w:vAlign w:val="center"/>
          </w:tcPr>
          <w:p w14:paraId="050D9976" w14:textId="7F8B5E2B" w:rsidR="00DC58F0" w:rsidRPr="00BC5011" w:rsidRDefault="005C4E45" w:rsidP="004C68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right"/>
              <w:rPr>
                <w:rFonts w:cs="Arial"/>
                <w:sz w:val="19"/>
                <w:szCs w:val="19"/>
                <w:lang w:val="en-US"/>
              </w:rPr>
            </w:pPr>
            <w:r>
              <w:rPr>
                <w:rFonts w:cs="Arial"/>
                <w:sz w:val="19"/>
                <w:szCs w:val="19"/>
                <w:lang w:val="en-US"/>
              </w:rPr>
              <w:t>1.501,07</w:t>
            </w:r>
          </w:p>
        </w:tc>
      </w:tr>
      <w:bookmarkEnd w:id="0"/>
    </w:tbl>
    <w:p w14:paraId="1EAB2FA7" w14:textId="77777777" w:rsidR="00197EFD" w:rsidRPr="00BC5011" w:rsidRDefault="00197EFD" w:rsidP="00197EFD">
      <w:pPr>
        <w:pStyle w:val="Plattetekst"/>
        <w:rPr>
          <w:rFonts w:ascii="Arial" w:hAnsi="Arial" w:cs="Arial"/>
          <w:sz w:val="20"/>
          <w:szCs w:val="20"/>
          <w:vertAlign w:val="superscript"/>
          <w:lang w:val="en-US"/>
        </w:rPr>
      </w:pPr>
    </w:p>
    <w:p w14:paraId="21E70260" w14:textId="1A910530" w:rsidR="00F04A5C" w:rsidRPr="000F3330" w:rsidRDefault="00895E6C" w:rsidP="005C4E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 w:val="19"/>
          <w:szCs w:val="19"/>
        </w:rPr>
      </w:pPr>
      <w:r>
        <w:rPr>
          <w:rFonts w:cs="Arial"/>
          <w:sz w:val="19"/>
          <w:szCs w:val="19"/>
        </w:rPr>
        <w:t xml:space="preserve">NB. </w:t>
      </w:r>
      <w:r w:rsidR="005C4E45" w:rsidRPr="005C4E45">
        <w:rPr>
          <w:rFonts w:cs="Arial"/>
          <w:sz w:val="19"/>
          <w:szCs w:val="19"/>
        </w:rPr>
        <w:t>De</w:t>
      </w:r>
      <w:r w:rsidR="005C4E45">
        <w:rPr>
          <w:rFonts w:cs="Arial"/>
          <w:sz w:val="19"/>
          <w:szCs w:val="19"/>
        </w:rPr>
        <w:t xml:space="preserve"> verhoging van de </w:t>
      </w:r>
      <w:r w:rsidR="005C4E45" w:rsidRPr="005C4E45">
        <w:rPr>
          <w:rFonts w:cs="Arial"/>
          <w:sz w:val="19"/>
          <w:szCs w:val="19"/>
        </w:rPr>
        <w:t>kosten van bestaan</w:t>
      </w:r>
      <w:r w:rsidR="005C4E45">
        <w:rPr>
          <w:rFonts w:cs="Arial"/>
          <w:sz w:val="19"/>
          <w:szCs w:val="19"/>
        </w:rPr>
        <w:t xml:space="preserve"> o</w:t>
      </w:r>
      <w:r w:rsidR="00303075" w:rsidRPr="000F3330">
        <w:rPr>
          <w:rFonts w:cs="Arial"/>
          <w:sz w:val="19"/>
          <w:szCs w:val="19"/>
        </w:rPr>
        <w:t>vereenkomstig artikel 16,</w:t>
      </w:r>
      <w:r w:rsidR="00FB07B9" w:rsidRPr="000F3330">
        <w:rPr>
          <w:rFonts w:cs="Arial"/>
          <w:sz w:val="19"/>
          <w:szCs w:val="19"/>
        </w:rPr>
        <w:t xml:space="preserve"> </w:t>
      </w:r>
      <w:r w:rsidR="00C92670" w:rsidRPr="000F3330">
        <w:rPr>
          <w:rFonts w:cs="Arial"/>
          <w:sz w:val="19"/>
          <w:szCs w:val="19"/>
        </w:rPr>
        <w:t>lid 3</w:t>
      </w:r>
      <w:r w:rsidR="00303075" w:rsidRPr="000F3330">
        <w:rPr>
          <w:rFonts w:cs="Arial"/>
          <w:sz w:val="19"/>
          <w:szCs w:val="19"/>
        </w:rPr>
        <w:t>, Uitvoeringsregeling Invorderingswet 1990</w:t>
      </w:r>
      <w:r w:rsidR="00C5141B">
        <w:rPr>
          <w:rFonts w:cs="Arial"/>
          <w:sz w:val="19"/>
          <w:szCs w:val="19"/>
        </w:rPr>
        <w:t xml:space="preserve"> (verder: URIW 1990)</w:t>
      </w:r>
      <w:r w:rsidR="00303075" w:rsidRPr="000F3330">
        <w:rPr>
          <w:rFonts w:cs="Arial"/>
          <w:sz w:val="19"/>
          <w:szCs w:val="19"/>
        </w:rPr>
        <w:t xml:space="preserve"> </w:t>
      </w:r>
      <w:r w:rsidR="005C4E45">
        <w:rPr>
          <w:rFonts w:cs="Arial"/>
          <w:sz w:val="19"/>
          <w:szCs w:val="19"/>
        </w:rPr>
        <w:t>is per 1 januari 2025 komen te vervallen</w:t>
      </w:r>
      <w:r w:rsidR="00AD67DF" w:rsidRPr="000F3330">
        <w:rPr>
          <w:rStyle w:val="Voetnootmarkering"/>
          <w:rFonts w:cs="Arial"/>
          <w:sz w:val="19"/>
          <w:szCs w:val="19"/>
          <w:vertAlign w:val="superscript"/>
        </w:rPr>
        <w:footnoteReference w:id="3"/>
      </w:r>
      <w:r w:rsidR="005C4E45">
        <w:rPr>
          <w:rFonts w:cs="Arial"/>
          <w:sz w:val="19"/>
          <w:szCs w:val="19"/>
        </w:rPr>
        <w:t>.</w:t>
      </w:r>
    </w:p>
    <w:p w14:paraId="3652E183" w14:textId="77777777" w:rsidR="00F04A5C" w:rsidRDefault="00F04A5C" w:rsidP="00A3578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Cs w:val="20"/>
        </w:rPr>
      </w:pPr>
    </w:p>
    <w:p w14:paraId="150B0AE5" w14:textId="34E1FCDC" w:rsidR="0038120D" w:rsidRDefault="0038120D" w:rsidP="0038120D">
      <w:pPr>
        <w:rPr>
          <w:rFonts w:cs="Arial"/>
          <w:szCs w:val="20"/>
        </w:rPr>
      </w:pPr>
      <w:r w:rsidRPr="00A736EA">
        <w:rPr>
          <w:rFonts w:cs="Arial"/>
          <w:bCs/>
          <w:i/>
          <w:sz w:val="19"/>
          <w:szCs w:val="19"/>
        </w:rPr>
        <w:t>Aangepaste normen bestaanskosten voor AOW-gerechtigden</w:t>
      </w:r>
      <w:r w:rsidRPr="000F3330">
        <w:rPr>
          <w:rFonts w:cs="Arial"/>
          <w:bCs/>
          <w:sz w:val="19"/>
          <w:szCs w:val="19"/>
          <w:vertAlign w:val="superscript"/>
        </w:rPr>
        <w:br/>
      </w:r>
      <w:r w:rsidRPr="000F3330">
        <w:rPr>
          <w:rFonts w:cs="Arial"/>
          <w:bCs/>
          <w:sz w:val="19"/>
          <w:szCs w:val="19"/>
        </w:rPr>
        <w:t>Gemeenten kunnen de kwijtscheldingsnormen voor AOW-gerechtigden verhogen tot 100% van de toepasselijke netto AOW-bedragen. De b</w:t>
      </w:r>
      <w:r w:rsidRPr="000F3330">
        <w:rPr>
          <w:rFonts w:cs="Arial"/>
          <w:sz w:val="19"/>
          <w:szCs w:val="19"/>
        </w:rPr>
        <w:t xml:space="preserve">andbreedte van de kwijtscheldingsnormen AOW-gerechtigden is met ingang van 1 </w:t>
      </w:r>
      <w:r w:rsidR="00636C0C">
        <w:rPr>
          <w:rFonts w:cs="Arial"/>
          <w:sz w:val="19"/>
          <w:szCs w:val="19"/>
        </w:rPr>
        <w:t>januari 2025</w:t>
      </w:r>
      <w:r w:rsidRPr="000F3330">
        <w:rPr>
          <w:rFonts w:cs="Arial"/>
          <w:sz w:val="19"/>
          <w:szCs w:val="19"/>
        </w:rPr>
        <w:t>:</w:t>
      </w:r>
    </w:p>
    <w:tbl>
      <w:tblPr>
        <w:tblW w:w="951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424"/>
        <w:gridCol w:w="2028"/>
        <w:gridCol w:w="2029"/>
        <w:gridCol w:w="2038"/>
      </w:tblGrid>
      <w:tr w:rsidR="0038120D" w:rsidRPr="00FB07B9" w14:paraId="156A9380" w14:textId="77777777" w:rsidTr="00EC52F2">
        <w:trPr>
          <w:cantSplit/>
        </w:trPr>
        <w:tc>
          <w:tcPr>
            <w:tcW w:w="3424" w:type="dxa"/>
            <w:tcBorders>
              <w:top w:val="nil"/>
              <w:left w:val="nil"/>
              <w:bottom w:val="nil"/>
              <w:right w:val="single" w:sz="4" w:space="0" w:color="auto"/>
            </w:tcBorders>
            <w:shd w:val="clear" w:color="auto" w:fill="auto"/>
            <w:vAlign w:val="center"/>
          </w:tcPr>
          <w:p w14:paraId="63ADB247" w14:textId="77777777" w:rsidR="0038120D" w:rsidRPr="00FD5E48" w:rsidRDefault="0038120D" w:rsidP="00FD7BB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40" w:lineRule="auto"/>
              <w:jc w:val="center"/>
              <w:rPr>
                <w:rFonts w:cs="Arial"/>
                <w:sz w:val="19"/>
                <w:szCs w:val="19"/>
              </w:rPr>
            </w:pPr>
          </w:p>
        </w:tc>
        <w:tc>
          <w:tcPr>
            <w:tcW w:w="2028" w:type="dxa"/>
            <w:tcBorders>
              <w:left w:val="single" w:sz="4" w:space="0" w:color="auto"/>
            </w:tcBorders>
            <w:vAlign w:val="center"/>
          </w:tcPr>
          <w:p w14:paraId="199D4BC0" w14:textId="77777777" w:rsidR="0038120D" w:rsidRPr="00FD5E48" w:rsidRDefault="0038120D" w:rsidP="00FD7BB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40" w:lineRule="auto"/>
              <w:jc w:val="center"/>
              <w:rPr>
                <w:rFonts w:cs="Arial"/>
                <w:sz w:val="19"/>
                <w:szCs w:val="19"/>
              </w:rPr>
            </w:pPr>
            <w:r w:rsidRPr="00FD5E48">
              <w:rPr>
                <w:rFonts w:cs="Arial"/>
                <w:b/>
                <w:bCs/>
                <w:sz w:val="19"/>
                <w:szCs w:val="19"/>
              </w:rPr>
              <w:t>Ondergrens</w:t>
            </w:r>
          </w:p>
        </w:tc>
        <w:tc>
          <w:tcPr>
            <w:tcW w:w="2029" w:type="dxa"/>
            <w:vAlign w:val="center"/>
          </w:tcPr>
          <w:p w14:paraId="426FC530" w14:textId="77777777" w:rsidR="0038120D" w:rsidRPr="00FD5E48" w:rsidRDefault="0038120D" w:rsidP="000D22B8">
            <w:pPr>
              <w:spacing w:line="240" w:lineRule="auto"/>
              <w:jc w:val="center"/>
              <w:rPr>
                <w:rFonts w:cs="Arial"/>
                <w:sz w:val="19"/>
                <w:szCs w:val="19"/>
              </w:rPr>
            </w:pPr>
            <w:r w:rsidRPr="00FD5E48">
              <w:rPr>
                <w:rFonts w:cs="Arial"/>
                <w:b/>
                <w:bCs/>
                <w:sz w:val="19"/>
                <w:szCs w:val="19"/>
              </w:rPr>
              <w:t>Huidige bovengrens</w:t>
            </w:r>
          </w:p>
        </w:tc>
        <w:tc>
          <w:tcPr>
            <w:tcW w:w="2038" w:type="dxa"/>
            <w:tcBorders>
              <w:right w:val="single" w:sz="4" w:space="0" w:color="auto"/>
            </w:tcBorders>
            <w:vAlign w:val="center"/>
          </w:tcPr>
          <w:p w14:paraId="54ECA45E" w14:textId="77777777" w:rsidR="0038120D" w:rsidRPr="00FD5E48" w:rsidRDefault="0038120D" w:rsidP="00FD7BB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40" w:lineRule="auto"/>
              <w:jc w:val="center"/>
              <w:rPr>
                <w:rFonts w:cs="Arial"/>
                <w:sz w:val="19"/>
                <w:szCs w:val="19"/>
              </w:rPr>
            </w:pPr>
            <w:r w:rsidRPr="00FD5E48">
              <w:rPr>
                <w:rFonts w:cs="Arial"/>
                <w:b/>
                <w:bCs/>
                <w:sz w:val="19"/>
                <w:szCs w:val="19"/>
              </w:rPr>
              <w:t>Nieuwe bovengrens</w:t>
            </w:r>
          </w:p>
        </w:tc>
      </w:tr>
      <w:tr w:rsidR="0038120D" w:rsidRPr="00FB07B9" w14:paraId="678C0BDC" w14:textId="77777777" w:rsidTr="00EC52F2">
        <w:trPr>
          <w:cantSplit/>
        </w:trPr>
        <w:tc>
          <w:tcPr>
            <w:tcW w:w="3424" w:type="dxa"/>
            <w:tcBorders>
              <w:top w:val="nil"/>
              <w:left w:val="nil"/>
              <w:bottom w:val="single" w:sz="4" w:space="0" w:color="auto"/>
              <w:right w:val="single" w:sz="4" w:space="0" w:color="auto"/>
            </w:tcBorders>
            <w:shd w:val="clear" w:color="auto" w:fill="auto"/>
          </w:tcPr>
          <w:p w14:paraId="34A957D0" w14:textId="77777777" w:rsidR="0038120D" w:rsidRPr="00FD5E48" w:rsidRDefault="0038120D" w:rsidP="00FD7BB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8" w:lineRule="auto"/>
              <w:rPr>
                <w:rFonts w:cs="Arial"/>
                <w:sz w:val="19"/>
                <w:szCs w:val="19"/>
              </w:rPr>
            </w:pPr>
          </w:p>
        </w:tc>
        <w:tc>
          <w:tcPr>
            <w:tcW w:w="2028" w:type="dxa"/>
            <w:tcBorders>
              <w:left w:val="single" w:sz="4" w:space="0" w:color="auto"/>
            </w:tcBorders>
          </w:tcPr>
          <w:p w14:paraId="5F9A96E2" w14:textId="5148C6B1" w:rsidR="0038120D" w:rsidRPr="00FD5E48" w:rsidRDefault="0038120D" w:rsidP="00BD47C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8" w:lineRule="auto"/>
              <w:jc w:val="center"/>
              <w:rPr>
                <w:rFonts w:cs="Arial"/>
                <w:sz w:val="19"/>
                <w:szCs w:val="19"/>
              </w:rPr>
            </w:pPr>
            <w:r w:rsidRPr="00FD5E48">
              <w:rPr>
                <w:rFonts w:cs="Arial"/>
                <w:sz w:val="19"/>
                <w:szCs w:val="19"/>
              </w:rPr>
              <w:t>90% bijstandsnorm</w:t>
            </w:r>
            <w:r w:rsidR="00D359C3" w:rsidRPr="00FD5E48">
              <w:rPr>
                <w:rFonts w:cs="Arial"/>
                <w:sz w:val="19"/>
                <w:szCs w:val="19"/>
              </w:rPr>
              <w:t xml:space="preserve"> (afgerond)</w:t>
            </w:r>
          </w:p>
        </w:tc>
        <w:tc>
          <w:tcPr>
            <w:tcW w:w="2029" w:type="dxa"/>
          </w:tcPr>
          <w:p w14:paraId="489B5184" w14:textId="77777777" w:rsidR="0038120D" w:rsidRPr="00FD5E48" w:rsidRDefault="0038120D" w:rsidP="00BD47C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8" w:lineRule="auto"/>
              <w:jc w:val="center"/>
              <w:rPr>
                <w:rFonts w:cs="Arial"/>
                <w:sz w:val="19"/>
                <w:szCs w:val="19"/>
              </w:rPr>
            </w:pPr>
            <w:r w:rsidRPr="00FD5E48">
              <w:rPr>
                <w:rFonts w:cs="Arial"/>
                <w:sz w:val="19"/>
                <w:szCs w:val="19"/>
              </w:rPr>
              <w:t>100% bijstandsnorm</w:t>
            </w:r>
          </w:p>
        </w:tc>
        <w:tc>
          <w:tcPr>
            <w:tcW w:w="2038" w:type="dxa"/>
            <w:tcBorders>
              <w:right w:val="single" w:sz="4" w:space="0" w:color="auto"/>
            </w:tcBorders>
          </w:tcPr>
          <w:p w14:paraId="099300A2" w14:textId="311C3E7D" w:rsidR="0038120D" w:rsidRPr="00FD5E48" w:rsidRDefault="0038120D" w:rsidP="00BD47CF">
            <w:pPr>
              <w:spacing w:line="288" w:lineRule="auto"/>
              <w:jc w:val="center"/>
              <w:rPr>
                <w:rFonts w:cs="Arial"/>
                <w:sz w:val="19"/>
                <w:szCs w:val="19"/>
              </w:rPr>
            </w:pPr>
            <w:r w:rsidRPr="00FD5E48">
              <w:rPr>
                <w:rFonts w:cs="Arial"/>
                <w:sz w:val="19"/>
                <w:szCs w:val="19"/>
              </w:rPr>
              <w:t>100% netto AOW-bedrag</w:t>
            </w:r>
            <w:r w:rsidR="00F92F6F" w:rsidRPr="00FD5E48">
              <w:rPr>
                <w:rStyle w:val="Voetnootmarkering"/>
                <w:rFonts w:cs="Arial"/>
                <w:sz w:val="19"/>
                <w:szCs w:val="19"/>
                <w:vertAlign w:val="superscript"/>
              </w:rPr>
              <w:footnoteReference w:id="4"/>
            </w:r>
          </w:p>
        </w:tc>
      </w:tr>
      <w:tr w:rsidR="005B2DD7" w:rsidRPr="00FB07B9" w14:paraId="40EF5B07" w14:textId="77777777" w:rsidTr="00EC52F2">
        <w:trPr>
          <w:cantSplit/>
          <w:trHeight w:val="184"/>
        </w:trPr>
        <w:tc>
          <w:tcPr>
            <w:tcW w:w="3424" w:type="dxa"/>
            <w:tcBorders>
              <w:top w:val="single" w:sz="4" w:space="0" w:color="auto"/>
            </w:tcBorders>
            <w:shd w:val="clear" w:color="auto" w:fill="auto"/>
            <w:vAlign w:val="center"/>
          </w:tcPr>
          <w:p w14:paraId="2F94E73E" w14:textId="3A10AD54" w:rsidR="005B2DD7" w:rsidRPr="00FD5E48" w:rsidRDefault="005B2DD7"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rPr>
                <w:rFonts w:cs="Arial"/>
                <w:sz w:val="19"/>
                <w:szCs w:val="19"/>
              </w:rPr>
            </w:pPr>
            <w:r w:rsidRPr="00FD5E48">
              <w:rPr>
                <w:rFonts w:cs="Arial"/>
                <w:sz w:val="19"/>
                <w:szCs w:val="19"/>
              </w:rPr>
              <w:t>Paar, beide partners</w:t>
            </w:r>
            <w:r>
              <w:rPr>
                <w:rFonts w:cs="Arial"/>
                <w:sz w:val="19"/>
                <w:szCs w:val="19"/>
              </w:rPr>
              <w:t xml:space="preserve"> </w:t>
            </w:r>
            <w:r w:rsidRPr="00FD5E48">
              <w:rPr>
                <w:rFonts w:cs="Arial"/>
                <w:sz w:val="19"/>
                <w:szCs w:val="19"/>
              </w:rPr>
              <w:t>AOW-gerechtigd</w:t>
            </w:r>
          </w:p>
        </w:tc>
        <w:tc>
          <w:tcPr>
            <w:tcW w:w="2028" w:type="dxa"/>
            <w:shd w:val="clear" w:color="auto" w:fill="auto"/>
            <w:vAlign w:val="center"/>
          </w:tcPr>
          <w:p w14:paraId="7E780EB0" w14:textId="17028325"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Cs w:val="20"/>
                <w:highlight w:val="yellow"/>
              </w:rPr>
            </w:pPr>
            <w:r>
              <w:rPr>
                <w:rFonts w:cs="Arial"/>
                <w:sz w:val="19"/>
                <w:szCs w:val="19"/>
              </w:rPr>
              <w:t>1.849</w:t>
            </w:r>
            <w:r w:rsidR="005B2DD7">
              <w:rPr>
                <w:rFonts w:cs="Arial"/>
                <w:sz w:val="19"/>
                <w:szCs w:val="19"/>
              </w:rPr>
              <w:t>,00</w:t>
            </w:r>
          </w:p>
        </w:tc>
        <w:tc>
          <w:tcPr>
            <w:tcW w:w="2029" w:type="dxa"/>
            <w:shd w:val="clear" w:color="auto" w:fill="auto"/>
          </w:tcPr>
          <w:p w14:paraId="5ED86C9F" w14:textId="1E05F2AC" w:rsidR="005B2DD7" w:rsidRPr="00A736EA"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 w:val="12"/>
                <w:szCs w:val="12"/>
              </w:rPr>
            </w:pPr>
            <w:r>
              <w:t>2.053,48</w:t>
            </w:r>
          </w:p>
        </w:tc>
        <w:tc>
          <w:tcPr>
            <w:tcW w:w="2038" w:type="dxa"/>
            <w:tcBorders>
              <w:right w:val="single" w:sz="4" w:space="0" w:color="auto"/>
            </w:tcBorders>
            <w:shd w:val="clear" w:color="auto" w:fill="auto"/>
          </w:tcPr>
          <w:p w14:paraId="2FCC052D" w14:textId="7C756661"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Cs w:val="20"/>
                <w:highlight w:val="yellow"/>
              </w:rPr>
            </w:pPr>
            <w:r>
              <w:t>2.187,88</w:t>
            </w:r>
          </w:p>
        </w:tc>
      </w:tr>
      <w:tr w:rsidR="005B2DD7" w:rsidRPr="009537A8" w14:paraId="07603121" w14:textId="77777777" w:rsidTr="00EC52F2">
        <w:trPr>
          <w:cantSplit/>
        </w:trPr>
        <w:tc>
          <w:tcPr>
            <w:tcW w:w="3424" w:type="dxa"/>
            <w:shd w:val="clear" w:color="auto" w:fill="auto"/>
            <w:vAlign w:val="center"/>
          </w:tcPr>
          <w:p w14:paraId="3983E08D" w14:textId="77777777" w:rsidR="005B2DD7" w:rsidRPr="00FD5E48" w:rsidRDefault="005B2DD7"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rPr>
                <w:rFonts w:cs="Arial"/>
                <w:sz w:val="19"/>
                <w:szCs w:val="19"/>
              </w:rPr>
            </w:pPr>
            <w:r w:rsidRPr="00FD5E48">
              <w:rPr>
                <w:rFonts w:cs="Arial"/>
                <w:sz w:val="19"/>
                <w:szCs w:val="19"/>
              </w:rPr>
              <w:t>Paar, 1 partner AOW-gerechtigd</w:t>
            </w:r>
          </w:p>
        </w:tc>
        <w:tc>
          <w:tcPr>
            <w:tcW w:w="2028" w:type="dxa"/>
            <w:shd w:val="clear" w:color="auto" w:fill="auto"/>
            <w:vAlign w:val="center"/>
          </w:tcPr>
          <w:p w14:paraId="134A663B" w14:textId="38CF4F39"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Cs w:val="20"/>
                <w:highlight w:val="yellow"/>
              </w:rPr>
            </w:pPr>
            <w:r>
              <w:rPr>
                <w:rFonts w:cs="Arial"/>
                <w:sz w:val="19"/>
                <w:szCs w:val="19"/>
              </w:rPr>
              <w:t>1.849</w:t>
            </w:r>
            <w:r w:rsidR="005B2DD7">
              <w:rPr>
                <w:rFonts w:cs="Arial"/>
                <w:sz w:val="19"/>
                <w:szCs w:val="19"/>
              </w:rPr>
              <w:t>,00</w:t>
            </w:r>
          </w:p>
        </w:tc>
        <w:tc>
          <w:tcPr>
            <w:tcW w:w="2029" w:type="dxa"/>
            <w:shd w:val="clear" w:color="auto" w:fill="auto"/>
          </w:tcPr>
          <w:p w14:paraId="28409337" w14:textId="72B132E5"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Cs w:val="20"/>
                <w:highlight w:val="yellow"/>
              </w:rPr>
            </w:pPr>
            <w:r>
              <w:t>2.053,48</w:t>
            </w:r>
          </w:p>
        </w:tc>
        <w:tc>
          <w:tcPr>
            <w:tcW w:w="2038" w:type="dxa"/>
            <w:tcBorders>
              <w:right w:val="single" w:sz="4" w:space="0" w:color="auto"/>
            </w:tcBorders>
            <w:shd w:val="clear" w:color="auto" w:fill="auto"/>
          </w:tcPr>
          <w:p w14:paraId="505C7E25" w14:textId="6C693669"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 w:val="12"/>
                <w:szCs w:val="12"/>
                <w:highlight w:val="yellow"/>
              </w:rPr>
            </w:pPr>
            <w:r>
              <w:t>2.187,88</w:t>
            </w:r>
          </w:p>
        </w:tc>
      </w:tr>
      <w:tr w:rsidR="005B2DD7" w:rsidRPr="00FB07B9" w14:paraId="134B091C" w14:textId="77777777" w:rsidTr="00EC52F2">
        <w:trPr>
          <w:cantSplit/>
        </w:trPr>
        <w:tc>
          <w:tcPr>
            <w:tcW w:w="3424" w:type="dxa"/>
            <w:shd w:val="clear" w:color="auto" w:fill="auto"/>
            <w:vAlign w:val="center"/>
          </w:tcPr>
          <w:p w14:paraId="104970BE" w14:textId="77777777" w:rsidR="005B2DD7" w:rsidRPr="00FD5E48" w:rsidRDefault="005B2DD7"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rPr>
                <w:rFonts w:cs="Arial"/>
                <w:sz w:val="19"/>
                <w:szCs w:val="19"/>
              </w:rPr>
            </w:pPr>
            <w:r w:rsidRPr="00FD5E48">
              <w:rPr>
                <w:rFonts w:cs="Arial"/>
                <w:sz w:val="19"/>
                <w:szCs w:val="19"/>
              </w:rPr>
              <w:t>Alleenstaande ouder</w:t>
            </w:r>
          </w:p>
        </w:tc>
        <w:tc>
          <w:tcPr>
            <w:tcW w:w="2028" w:type="dxa"/>
            <w:shd w:val="clear" w:color="auto" w:fill="auto"/>
            <w:vAlign w:val="center"/>
          </w:tcPr>
          <w:p w14:paraId="6C76F3E0" w14:textId="48ECE3AF"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Cs w:val="20"/>
                <w:highlight w:val="yellow"/>
              </w:rPr>
            </w:pPr>
            <w:r>
              <w:rPr>
                <w:rFonts w:cs="Arial"/>
                <w:sz w:val="19"/>
                <w:szCs w:val="19"/>
              </w:rPr>
              <w:t>1.351</w:t>
            </w:r>
            <w:r w:rsidR="005B2DD7">
              <w:rPr>
                <w:rFonts w:cs="Arial"/>
                <w:sz w:val="19"/>
                <w:szCs w:val="19"/>
              </w:rPr>
              <w:t>,00</w:t>
            </w:r>
          </w:p>
        </w:tc>
        <w:tc>
          <w:tcPr>
            <w:tcW w:w="2029" w:type="dxa"/>
            <w:shd w:val="clear" w:color="auto" w:fill="auto"/>
          </w:tcPr>
          <w:p w14:paraId="2A76C3D3" w14:textId="08EC9E65"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center"/>
              <w:rPr>
                <w:rFonts w:cs="Arial"/>
                <w:szCs w:val="20"/>
              </w:rPr>
            </w:pPr>
            <w:r>
              <w:t>1.501,07</w:t>
            </w:r>
          </w:p>
        </w:tc>
        <w:tc>
          <w:tcPr>
            <w:tcW w:w="2038" w:type="dxa"/>
            <w:tcBorders>
              <w:right w:val="single" w:sz="4" w:space="0" w:color="auto"/>
            </w:tcBorders>
            <w:shd w:val="clear" w:color="auto" w:fill="auto"/>
          </w:tcPr>
          <w:p w14:paraId="29433B6A" w14:textId="1FDE9384"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Cs w:val="20"/>
                <w:highlight w:val="yellow"/>
              </w:rPr>
            </w:pPr>
            <w:r>
              <w:t>1.594,83</w:t>
            </w:r>
          </w:p>
        </w:tc>
      </w:tr>
      <w:tr w:rsidR="005B2DD7" w:rsidRPr="00FB07B9" w14:paraId="3EB9024E" w14:textId="77777777" w:rsidTr="00EC52F2">
        <w:trPr>
          <w:cantSplit/>
        </w:trPr>
        <w:tc>
          <w:tcPr>
            <w:tcW w:w="3424" w:type="dxa"/>
            <w:shd w:val="clear" w:color="auto" w:fill="auto"/>
            <w:vAlign w:val="center"/>
          </w:tcPr>
          <w:p w14:paraId="40A9221B" w14:textId="77777777" w:rsidR="005B2DD7" w:rsidRPr="00FD5E48" w:rsidRDefault="005B2DD7"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rPr>
                <w:rFonts w:cs="Arial"/>
                <w:sz w:val="19"/>
                <w:szCs w:val="19"/>
              </w:rPr>
            </w:pPr>
            <w:r w:rsidRPr="00FD5E48">
              <w:rPr>
                <w:rFonts w:cs="Arial"/>
                <w:sz w:val="19"/>
                <w:szCs w:val="19"/>
              </w:rPr>
              <w:t>Alleenstaande</w:t>
            </w:r>
          </w:p>
        </w:tc>
        <w:tc>
          <w:tcPr>
            <w:tcW w:w="2028" w:type="dxa"/>
            <w:shd w:val="clear" w:color="auto" w:fill="auto"/>
            <w:vAlign w:val="center"/>
          </w:tcPr>
          <w:p w14:paraId="338E42B9" w14:textId="2F34026F"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Cs w:val="20"/>
                <w:highlight w:val="yellow"/>
              </w:rPr>
            </w:pPr>
            <w:r>
              <w:rPr>
                <w:rFonts w:cs="Arial"/>
                <w:sz w:val="19"/>
                <w:szCs w:val="19"/>
              </w:rPr>
              <w:t>1.351</w:t>
            </w:r>
            <w:r w:rsidR="005B2DD7">
              <w:rPr>
                <w:rFonts w:cs="Arial"/>
                <w:sz w:val="19"/>
                <w:szCs w:val="19"/>
              </w:rPr>
              <w:t>,00</w:t>
            </w:r>
          </w:p>
        </w:tc>
        <w:tc>
          <w:tcPr>
            <w:tcW w:w="2029" w:type="dxa"/>
            <w:shd w:val="clear" w:color="auto" w:fill="auto"/>
          </w:tcPr>
          <w:p w14:paraId="73A26FAC" w14:textId="30E93706"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jc w:val="center"/>
              <w:rPr>
                <w:rFonts w:cs="Arial"/>
                <w:szCs w:val="20"/>
              </w:rPr>
            </w:pPr>
            <w:r>
              <w:t>1.501,07</w:t>
            </w:r>
          </w:p>
        </w:tc>
        <w:tc>
          <w:tcPr>
            <w:tcW w:w="2038" w:type="dxa"/>
            <w:tcBorders>
              <w:right w:val="single" w:sz="4" w:space="0" w:color="auto"/>
            </w:tcBorders>
            <w:shd w:val="clear" w:color="auto" w:fill="auto"/>
          </w:tcPr>
          <w:p w14:paraId="39A309BA" w14:textId="3BA40667" w:rsidR="005B2DD7" w:rsidRPr="00BC5011" w:rsidRDefault="00636C0C" w:rsidP="005B2DD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71" w:lineRule="auto"/>
              <w:jc w:val="center"/>
              <w:rPr>
                <w:rFonts w:cs="Arial"/>
                <w:sz w:val="12"/>
                <w:szCs w:val="12"/>
                <w:highlight w:val="yellow"/>
              </w:rPr>
            </w:pPr>
            <w:r>
              <w:t>1.594,83</w:t>
            </w:r>
          </w:p>
        </w:tc>
      </w:tr>
    </w:tbl>
    <w:p w14:paraId="5A9A4D17" w14:textId="77777777" w:rsidR="0038120D" w:rsidRPr="00FB2E10" w:rsidRDefault="0038120D" w:rsidP="0038120D">
      <w:pPr>
        <w:rPr>
          <w:rFonts w:cs="Arial"/>
          <w:szCs w:val="20"/>
        </w:rPr>
      </w:pPr>
    </w:p>
    <w:p w14:paraId="58E3B712" w14:textId="23E7C578" w:rsidR="00FE336D" w:rsidRPr="00D359C3" w:rsidRDefault="00FE336D" w:rsidP="00A3578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i/>
          <w:sz w:val="19"/>
          <w:szCs w:val="19"/>
        </w:rPr>
      </w:pPr>
      <w:r w:rsidRPr="00D359C3">
        <w:rPr>
          <w:rFonts w:cs="Arial"/>
          <w:i/>
          <w:sz w:val="19"/>
          <w:szCs w:val="19"/>
        </w:rPr>
        <w:t>Vrij te laten inkomsten</w:t>
      </w:r>
      <w:r w:rsidR="0038120D" w:rsidRPr="00D359C3">
        <w:rPr>
          <w:rFonts w:cs="Arial"/>
          <w:i/>
          <w:sz w:val="19"/>
          <w:szCs w:val="19"/>
        </w:rPr>
        <w:t xml:space="preserve"> in de inkomenstoets</w:t>
      </w:r>
    </w:p>
    <w:p w14:paraId="7C0657FD" w14:textId="77777777" w:rsidR="0038120D" w:rsidRPr="00D359C3" w:rsidRDefault="00303075" w:rsidP="0038120D">
      <w:pPr>
        <w:pStyle w:val="Lijstalinea"/>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right="-283" w:hanging="284"/>
        <w:rPr>
          <w:rFonts w:cs="Arial"/>
          <w:sz w:val="19"/>
          <w:szCs w:val="19"/>
        </w:rPr>
      </w:pPr>
      <w:r w:rsidRPr="00D359C3">
        <w:rPr>
          <w:rFonts w:cs="Arial"/>
          <w:sz w:val="19"/>
          <w:szCs w:val="19"/>
        </w:rPr>
        <w:t xml:space="preserve">inkomsten </w:t>
      </w:r>
      <w:proofErr w:type="gramStart"/>
      <w:r w:rsidRPr="00D359C3">
        <w:rPr>
          <w:rFonts w:cs="Arial"/>
          <w:sz w:val="19"/>
          <w:szCs w:val="19"/>
        </w:rPr>
        <w:t>ingevolge</w:t>
      </w:r>
      <w:proofErr w:type="gramEnd"/>
      <w:r w:rsidRPr="00D359C3">
        <w:rPr>
          <w:rFonts w:cs="Arial"/>
          <w:sz w:val="19"/>
          <w:szCs w:val="19"/>
        </w:rPr>
        <w:t xml:space="preserve"> de Algemene Kinderbijslagwe</w:t>
      </w:r>
      <w:r w:rsidR="0038120D" w:rsidRPr="00D359C3">
        <w:rPr>
          <w:rFonts w:cs="Arial"/>
          <w:sz w:val="19"/>
          <w:szCs w:val="19"/>
        </w:rPr>
        <w:t xml:space="preserve">t, de kinderopvangtoeslag en de </w:t>
      </w:r>
      <w:r w:rsidRPr="00D359C3">
        <w:rPr>
          <w:rFonts w:cs="Arial"/>
          <w:sz w:val="19"/>
          <w:szCs w:val="19"/>
        </w:rPr>
        <w:t>tegemoetkomingen ingevolge de Wet kinderopvang en kwaliteitseisen peuterspeelzalen.</w:t>
      </w:r>
    </w:p>
    <w:p w14:paraId="364ACD47" w14:textId="0558E614" w:rsidR="00303075" w:rsidRPr="00D359C3" w:rsidRDefault="00303075" w:rsidP="0038120D">
      <w:pPr>
        <w:pStyle w:val="Lijstalinea"/>
        <w:numPr>
          <w:ilvl w:val="0"/>
          <w:numId w:val="6"/>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right="-283" w:hanging="284"/>
        <w:rPr>
          <w:rFonts w:cs="Arial"/>
          <w:sz w:val="19"/>
          <w:szCs w:val="19"/>
        </w:rPr>
      </w:pPr>
      <w:r w:rsidRPr="00D359C3">
        <w:rPr>
          <w:rFonts w:cs="Arial"/>
          <w:sz w:val="19"/>
          <w:szCs w:val="19"/>
        </w:rPr>
        <w:t xml:space="preserve">de </w:t>
      </w:r>
      <w:r w:rsidR="002C3DAB" w:rsidRPr="00D359C3">
        <w:rPr>
          <w:rFonts w:cs="Arial"/>
          <w:sz w:val="19"/>
          <w:szCs w:val="19"/>
        </w:rPr>
        <w:t>individuele inkomenstoeslag</w:t>
      </w:r>
      <w:r w:rsidRPr="00D359C3">
        <w:rPr>
          <w:rFonts w:cs="Arial"/>
          <w:sz w:val="19"/>
          <w:szCs w:val="19"/>
        </w:rPr>
        <w:t xml:space="preserve"> (artikel 36 Participatiewet);</w:t>
      </w:r>
    </w:p>
    <w:p w14:paraId="6EB1E373" w14:textId="77777777" w:rsidR="00303075" w:rsidRPr="00D359C3" w:rsidRDefault="00303075" w:rsidP="00C64E2E">
      <w:pPr>
        <w:widowControl w:val="0"/>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autoSpaceDE w:val="0"/>
        <w:autoSpaceDN w:val="0"/>
        <w:adjustRightInd w:val="0"/>
        <w:rPr>
          <w:rFonts w:cs="Arial"/>
          <w:sz w:val="19"/>
          <w:szCs w:val="19"/>
        </w:rPr>
      </w:pPr>
      <w:r w:rsidRPr="00D359C3">
        <w:rPr>
          <w:rFonts w:cs="Arial"/>
          <w:sz w:val="19"/>
          <w:szCs w:val="19"/>
        </w:rPr>
        <w:t xml:space="preserve">de vergoeding voor de verzorging en opvoeding van een pleegkind in het kader van de </w:t>
      </w:r>
      <w:r w:rsidR="00FB07B9" w:rsidRPr="00D359C3">
        <w:rPr>
          <w:rFonts w:cs="Arial"/>
          <w:sz w:val="19"/>
          <w:szCs w:val="19"/>
        </w:rPr>
        <w:t>Jeugdwet</w:t>
      </w:r>
      <w:r w:rsidRPr="00D359C3">
        <w:rPr>
          <w:rFonts w:cs="Arial"/>
          <w:sz w:val="19"/>
          <w:szCs w:val="19"/>
        </w:rPr>
        <w:t>;</w:t>
      </w:r>
    </w:p>
    <w:p w14:paraId="396F97A2" w14:textId="77777777" w:rsidR="00303075" w:rsidRPr="00D359C3" w:rsidRDefault="00303075" w:rsidP="00C64E2E">
      <w:pPr>
        <w:widowControl w:val="0"/>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autoSpaceDE w:val="0"/>
        <w:autoSpaceDN w:val="0"/>
        <w:adjustRightInd w:val="0"/>
        <w:rPr>
          <w:rFonts w:cs="Arial"/>
          <w:sz w:val="19"/>
          <w:szCs w:val="19"/>
        </w:rPr>
      </w:pPr>
      <w:r w:rsidRPr="00D359C3">
        <w:rPr>
          <w:rFonts w:cs="Arial"/>
          <w:sz w:val="19"/>
          <w:szCs w:val="19"/>
        </w:rPr>
        <w:t>het kindgebonden budget, bedoeld in de Wet op het kindgebonden budget;</w:t>
      </w:r>
    </w:p>
    <w:p w14:paraId="61F984A9" w14:textId="5EC9B2F2" w:rsidR="0038120D" w:rsidRPr="00D359C3" w:rsidRDefault="002C3DAB" w:rsidP="0038120D">
      <w:pPr>
        <w:pStyle w:val="Lijstalinea"/>
        <w:numPr>
          <w:ilvl w:val="0"/>
          <w:numId w:val="2"/>
        </w:numPr>
        <w:tabs>
          <w:tab w:val="clear" w:pos="360"/>
          <w:tab w:val="num" w:pos="284"/>
        </w:tabs>
        <w:rPr>
          <w:rFonts w:cs="Arial"/>
          <w:bCs/>
          <w:sz w:val="19"/>
          <w:szCs w:val="19"/>
        </w:rPr>
      </w:pPr>
      <w:r w:rsidRPr="00D359C3">
        <w:rPr>
          <w:rFonts w:cs="Arial"/>
          <w:bCs/>
          <w:sz w:val="19"/>
          <w:szCs w:val="19"/>
        </w:rPr>
        <w:t xml:space="preserve">de huurtoeslag, bedoeld in artikel 1, onderdeel e, Wet op </w:t>
      </w:r>
      <w:r w:rsidR="0038120D" w:rsidRPr="00D359C3">
        <w:rPr>
          <w:rFonts w:cs="Arial"/>
          <w:bCs/>
          <w:sz w:val="19"/>
          <w:szCs w:val="19"/>
        </w:rPr>
        <w:t>de huurtoeslag</w:t>
      </w:r>
      <w:r w:rsidR="00C5141B">
        <w:rPr>
          <w:rFonts w:cs="Arial"/>
          <w:bCs/>
          <w:sz w:val="19"/>
          <w:szCs w:val="19"/>
        </w:rPr>
        <w:t xml:space="preserve"> (W</w:t>
      </w:r>
      <w:r w:rsidR="00EC52F2">
        <w:rPr>
          <w:rFonts w:cs="Arial"/>
          <w:bCs/>
          <w:sz w:val="19"/>
          <w:szCs w:val="19"/>
        </w:rPr>
        <w:t>HT</w:t>
      </w:r>
      <w:r w:rsidR="00C5141B">
        <w:rPr>
          <w:rFonts w:cs="Arial"/>
          <w:bCs/>
          <w:sz w:val="19"/>
          <w:szCs w:val="19"/>
        </w:rPr>
        <w:t>)</w:t>
      </w:r>
      <w:r w:rsidR="0038120D" w:rsidRPr="00D359C3">
        <w:rPr>
          <w:rFonts w:cs="Arial"/>
          <w:bCs/>
          <w:sz w:val="19"/>
          <w:szCs w:val="19"/>
        </w:rPr>
        <w:t xml:space="preserve">, de </w:t>
      </w:r>
      <w:proofErr w:type="gramStart"/>
      <w:r w:rsidR="0038120D" w:rsidRPr="00D359C3">
        <w:rPr>
          <w:rFonts w:cs="Arial"/>
          <w:bCs/>
          <w:sz w:val="19"/>
          <w:szCs w:val="19"/>
        </w:rPr>
        <w:t>krachtens</w:t>
      </w:r>
      <w:proofErr w:type="gramEnd"/>
      <w:r w:rsidR="0038120D" w:rsidRPr="00D359C3">
        <w:rPr>
          <w:rFonts w:cs="Arial"/>
          <w:bCs/>
          <w:sz w:val="19"/>
          <w:szCs w:val="19"/>
        </w:rPr>
        <w:t xml:space="preserve"> de</w:t>
      </w:r>
    </w:p>
    <w:p w14:paraId="0918E837" w14:textId="63E5DF23" w:rsidR="002C3DAB" w:rsidRPr="00D359C3" w:rsidRDefault="002C3DAB" w:rsidP="0038120D">
      <w:pPr>
        <w:pStyle w:val="Lijstalinea"/>
        <w:ind w:left="360"/>
        <w:rPr>
          <w:rFonts w:cs="Arial"/>
          <w:bCs/>
          <w:sz w:val="19"/>
          <w:szCs w:val="19"/>
        </w:rPr>
      </w:pPr>
      <w:r w:rsidRPr="00D359C3">
        <w:rPr>
          <w:rFonts w:cs="Arial"/>
          <w:bCs/>
          <w:sz w:val="19"/>
          <w:szCs w:val="19"/>
        </w:rPr>
        <w:t>Participatiewet ontvangen woonkostentoeslag en de zorgtoeslag, bedoeld in artikel 1, onderdeel e, Wet op de zorgtoeslag</w:t>
      </w:r>
      <w:r w:rsidR="00207BD1" w:rsidRPr="00D359C3">
        <w:rPr>
          <w:rFonts w:cs="Arial"/>
          <w:bCs/>
          <w:sz w:val="19"/>
          <w:szCs w:val="19"/>
        </w:rPr>
        <w:t>.</w:t>
      </w:r>
    </w:p>
    <w:p w14:paraId="34B75D12" w14:textId="77777777" w:rsidR="000C067A" w:rsidRPr="00D359C3" w:rsidRDefault="000C067A" w:rsidP="00C64E2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 w:val="19"/>
          <w:szCs w:val="19"/>
        </w:rPr>
      </w:pPr>
    </w:p>
    <w:p w14:paraId="1B91289A" w14:textId="7B2A945B" w:rsidR="00303075" w:rsidRPr="008C14FA" w:rsidRDefault="0038120D" w:rsidP="008C14FA">
      <w:pPr>
        <w:rPr>
          <w:sz w:val="19"/>
          <w:szCs w:val="19"/>
        </w:rPr>
      </w:pPr>
      <w:r w:rsidRPr="008C14FA">
        <w:rPr>
          <w:sz w:val="19"/>
          <w:szCs w:val="19"/>
        </w:rPr>
        <w:t>Verder</w:t>
      </w:r>
      <w:r w:rsidR="00303075" w:rsidRPr="008C14FA">
        <w:rPr>
          <w:sz w:val="19"/>
          <w:szCs w:val="19"/>
        </w:rPr>
        <w:t xml:space="preserve"> worden in de inkomenstoets vrijgelaten de volgende subsidies en premies bedoeld ter stimulering van arbeid. Het betreft: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1"/>
        <w:gridCol w:w="1418"/>
        <w:gridCol w:w="1418"/>
      </w:tblGrid>
      <w:tr w:rsidR="009908A9" w:rsidRPr="00742AA4" w14:paraId="63C4D825" w14:textId="77777777" w:rsidTr="009908A9">
        <w:tc>
          <w:tcPr>
            <w:tcW w:w="6941" w:type="dxa"/>
          </w:tcPr>
          <w:p w14:paraId="68814F52" w14:textId="77777777" w:rsidR="009908A9" w:rsidRPr="00742AA4" w:rsidRDefault="009908A9" w:rsidP="009908A9">
            <w:pPr>
              <w:pStyle w:val="Lijstalinea"/>
              <w:ind w:left="360"/>
              <w:rPr>
                <w:sz w:val="19"/>
                <w:szCs w:val="19"/>
              </w:rPr>
            </w:pPr>
          </w:p>
        </w:tc>
        <w:tc>
          <w:tcPr>
            <w:tcW w:w="1418" w:type="dxa"/>
          </w:tcPr>
          <w:p w14:paraId="505ADAD8" w14:textId="2AD92BB5" w:rsidR="009908A9" w:rsidRPr="00742AA4" w:rsidRDefault="009908A9" w:rsidP="009908A9">
            <w:pPr>
              <w:jc w:val="right"/>
              <w:rPr>
                <w:sz w:val="19"/>
                <w:szCs w:val="19"/>
              </w:rPr>
            </w:pPr>
            <w:r w:rsidRPr="00742AA4">
              <w:rPr>
                <w:sz w:val="19"/>
                <w:szCs w:val="19"/>
              </w:rPr>
              <w:t xml:space="preserve">1 </w:t>
            </w:r>
            <w:r>
              <w:rPr>
                <w:sz w:val="19"/>
                <w:szCs w:val="19"/>
              </w:rPr>
              <w:t>juli</w:t>
            </w:r>
            <w:r w:rsidRPr="00742AA4">
              <w:rPr>
                <w:sz w:val="19"/>
                <w:szCs w:val="19"/>
              </w:rPr>
              <w:t xml:space="preserve"> 202</w:t>
            </w:r>
            <w:r>
              <w:rPr>
                <w:sz w:val="19"/>
                <w:szCs w:val="19"/>
              </w:rPr>
              <w:t>4</w:t>
            </w:r>
          </w:p>
        </w:tc>
        <w:tc>
          <w:tcPr>
            <w:tcW w:w="1418" w:type="dxa"/>
          </w:tcPr>
          <w:p w14:paraId="43CCDEF2" w14:textId="7738120A" w:rsidR="009908A9" w:rsidRPr="00742AA4" w:rsidRDefault="009908A9" w:rsidP="009908A9">
            <w:pPr>
              <w:jc w:val="right"/>
              <w:rPr>
                <w:sz w:val="19"/>
                <w:szCs w:val="19"/>
              </w:rPr>
            </w:pPr>
            <w:r w:rsidRPr="00742AA4">
              <w:rPr>
                <w:sz w:val="19"/>
                <w:szCs w:val="19"/>
              </w:rPr>
              <w:t xml:space="preserve">1 </w:t>
            </w:r>
            <w:r>
              <w:rPr>
                <w:sz w:val="19"/>
                <w:szCs w:val="19"/>
              </w:rPr>
              <w:t>januari 2025</w:t>
            </w:r>
          </w:p>
        </w:tc>
      </w:tr>
      <w:tr w:rsidR="009908A9" w:rsidRPr="00742AA4" w14:paraId="53090295" w14:textId="21F0E145" w:rsidTr="009908A9">
        <w:tc>
          <w:tcPr>
            <w:tcW w:w="6941" w:type="dxa"/>
          </w:tcPr>
          <w:p w14:paraId="6DF93902" w14:textId="436412C7" w:rsidR="009908A9" w:rsidRDefault="009908A9" w:rsidP="009908A9">
            <w:pPr>
              <w:pStyle w:val="Lijstalinea"/>
              <w:numPr>
                <w:ilvl w:val="0"/>
                <w:numId w:val="2"/>
              </w:numPr>
              <w:rPr>
                <w:sz w:val="19"/>
                <w:szCs w:val="19"/>
              </w:rPr>
            </w:pPr>
            <w:r w:rsidRPr="00742AA4">
              <w:rPr>
                <w:sz w:val="19"/>
                <w:szCs w:val="19"/>
              </w:rPr>
              <w:t>de premie in het kader van een voorziening gericht op arbeidsinschakeling (artikel 31, lid 2, onderdeel j, Participatiewet) en een daarmee naar aard, strekking en omvang overeenkomende premie</w:t>
            </w:r>
            <w:r>
              <w:rPr>
                <w:sz w:val="19"/>
                <w:szCs w:val="19"/>
              </w:rPr>
              <w:t>:</w:t>
            </w:r>
          </w:p>
          <w:p w14:paraId="4557C40D" w14:textId="0816269B" w:rsidR="009908A9" w:rsidRPr="00742AA4" w:rsidRDefault="009908A9" w:rsidP="009908A9">
            <w:pPr>
              <w:pStyle w:val="Lijstalinea"/>
              <w:ind w:left="360"/>
              <w:rPr>
                <w:sz w:val="19"/>
                <w:szCs w:val="19"/>
              </w:rPr>
            </w:pPr>
            <w:r>
              <w:rPr>
                <w:sz w:val="19"/>
                <w:szCs w:val="19"/>
              </w:rPr>
              <w:t>per jaar.</w:t>
            </w:r>
            <w:r w:rsidRPr="00742AA4">
              <w:rPr>
                <w:sz w:val="19"/>
                <w:szCs w:val="19"/>
              </w:rPr>
              <w:t xml:space="preserve"> </w:t>
            </w:r>
          </w:p>
        </w:tc>
        <w:tc>
          <w:tcPr>
            <w:tcW w:w="1418" w:type="dxa"/>
          </w:tcPr>
          <w:p w14:paraId="686E9B83" w14:textId="77777777" w:rsidR="009908A9" w:rsidRDefault="009908A9" w:rsidP="009908A9">
            <w:pPr>
              <w:jc w:val="right"/>
              <w:rPr>
                <w:sz w:val="19"/>
                <w:szCs w:val="19"/>
              </w:rPr>
            </w:pPr>
          </w:p>
          <w:p w14:paraId="7650EBD8" w14:textId="77777777" w:rsidR="009908A9" w:rsidRDefault="009908A9" w:rsidP="009908A9">
            <w:pPr>
              <w:jc w:val="right"/>
              <w:rPr>
                <w:sz w:val="19"/>
                <w:szCs w:val="19"/>
              </w:rPr>
            </w:pPr>
          </w:p>
          <w:p w14:paraId="03E04A90" w14:textId="1974B5F5" w:rsidR="009908A9" w:rsidRDefault="009908A9" w:rsidP="009908A9">
            <w:pPr>
              <w:jc w:val="right"/>
              <w:rPr>
                <w:sz w:val="19"/>
                <w:szCs w:val="19"/>
              </w:rPr>
            </w:pPr>
            <w:r w:rsidRPr="00742AA4">
              <w:rPr>
                <w:sz w:val="19"/>
                <w:szCs w:val="19"/>
              </w:rPr>
              <w:t xml:space="preserve">€ </w:t>
            </w:r>
            <w:r>
              <w:rPr>
                <w:sz w:val="19"/>
                <w:szCs w:val="19"/>
              </w:rPr>
              <w:t>3.209</w:t>
            </w:r>
            <w:r w:rsidRPr="00742AA4">
              <w:rPr>
                <w:sz w:val="19"/>
                <w:szCs w:val="19"/>
              </w:rPr>
              <w:t>,00</w:t>
            </w:r>
          </w:p>
        </w:tc>
        <w:tc>
          <w:tcPr>
            <w:tcW w:w="1418" w:type="dxa"/>
          </w:tcPr>
          <w:p w14:paraId="463E02B9" w14:textId="25E66137" w:rsidR="009908A9" w:rsidRDefault="009908A9" w:rsidP="009908A9">
            <w:pPr>
              <w:jc w:val="right"/>
              <w:rPr>
                <w:sz w:val="19"/>
                <w:szCs w:val="19"/>
              </w:rPr>
            </w:pPr>
          </w:p>
          <w:p w14:paraId="6BE42A3A" w14:textId="77777777" w:rsidR="009908A9" w:rsidRDefault="009908A9" w:rsidP="009908A9">
            <w:pPr>
              <w:jc w:val="right"/>
              <w:rPr>
                <w:sz w:val="19"/>
                <w:szCs w:val="19"/>
              </w:rPr>
            </w:pPr>
          </w:p>
          <w:p w14:paraId="341B331A" w14:textId="014DB4B4" w:rsidR="009908A9" w:rsidRPr="00742AA4" w:rsidRDefault="009908A9" w:rsidP="009908A9">
            <w:pPr>
              <w:jc w:val="right"/>
              <w:rPr>
                <w:sz w:val="19"/>
                <w:szCs w:val="19"/>
              </w:rPr>
            </w:pPr>
            <w:r w:rsidRPr="00742AA4">
              <w:rPr>
                <w:sz w:val="19"/>
                <w:szCs w:val="19"/>
              </w:rPr>
              <w:t xml:space="preserve">€ </w:t>
            </w:r>
            <w:r>
              <w:rPr>
                <w:sz w:val="19"/>
                <w:szCs w:val="19"/>
              </w:rPr>
              <w:t>3.263,00</w:t>
            </w:r>
          </w:p>
        </w:tc>
      </w:tr>
      <w:tr w:rsidR="009908A9" w:rsidRPr="00742AA4" w14:paraId="305B69A7" w14:textId="77777777" w:rsidTr="009908A9">
        <w:tc>
          <w:tcPr>
            <w:tcW w:w="6941" w:type="dxa"/>
            <w:tcBorders>
              <w:top w:val="single" w:sz="4" w:space="0" w:color="auto"/>
              <w:left w:val="single" w:sz="4" w:space="0" w:color="auto"/>
              <w:bottom w:val="single" w:sz="4" w:space="0" w:color="auto"/>
              <w:right w:val="single" w:sz="4" w:space="0" w:color="auto"/>
            </w:tcBorders>
          </w:tcPr>
          <w:p w14:paraId="5DEA7F33" w14:textId="2ED427FF" w:rsidR="009908A9" w:rsidRPr="002E019A" w:rsidRDefault="009908A9" w:rsidP="009908A9">
            <w:pPr>
              <w:pStyle w:val="Lijstalinea"/>
              <w:numPr>
                <w:ilvl w:val="0"/>
                <w:numId w:val="2"/>
              </w:numPr>
              <w:rPr>
                <w:sz w:val="19"/>
                <w:szCs w:val="19"/>
              </w:rPr>
            </w:pPr>
            <w:r w:rsidRPr="00742AA4">
              <w:rPr>
                <w:sz w:val="19"/>
                <w:szCs w:val="19"/>
              </w:rPr>
              <w:t>een kostenvergoeding voor het verrichten van vrijwilligerswerk tot ten hoogste de bedragen, genoemd in artikel 2, lid 6, Wet</w:t>
            </w:r>
            <w:r w:rsidR="00C5141B">
              <w:rPr>
                <w:sz w:val="19"/>
                <w:szCs w:val="19"/>
              </w:rPr>
              <w:t xml:space="preserve"> op de loonbelasting</w:t>
            </w:r>
            <w:r w:rsidRPr="00742AA4">
              <w:rPr>
                <w:sz w:val="19"/>
                <w:szCs w:val="19"/>
              </w:rPr>
              <w:t>:</w:t>
            </w:r>
          </w:p>
          <w:p w14:paraId="081EA0FF" w14:textId="77777777" w:rsidR="009908A9" w:rsidRDefault="009908A9" w:rsidP="009908A9">
            <w:pPr>
              <w:pStyle w:val="Lijstalinea"/>
              <w:tabs>
                <w:tab w:val="num" w:pos="360"/>
              </w:tabs>
              <w:ind w:left="360" w:hanging="14"/>
              <w:rPr>
                <w:sz w:val="19"/>
                <w:szCs w:val="19"/>
              </w:rPr>
            </w:pPr>
            <w:r w:rsidRPr="00742AA4">
              <w:rPr>
                <w:sz w:val="19"/>
                <w:szCs w:val="19"/>
              </w:rPr>
              <w:t>per maand, met een maximum van</w:t>
            </w:r>
            <w:r>
              <w:rPr>
                <w:sz w:val="19"/>
                <w:szCs w:val="19"/>
              </w:rPr>
              <w:t>:</w:t>
            </w:r>
          </w:p>
          <w:p w14:paraId="1A130578" w14:textId="77777777" w:rsidR="009908A9" w:rsidRPr="002E019A" w:rsidRDefault="009908A9" w:rsidP="009908A9">
            <w:pPr>
              <w:pStyle w:val="Lijstalinea"/>
              <w:tabs>
                <w:tab w:val="num" w:pos="360"/>
              </w:tabs>
              <w:ind w:left="360" w:hanging="14"/>
              <w:rPr>
                <w:sz w:val="19"/>
                <w:szCs w:val="19"/>
              </w:rPr>
            </w:pPr>
            <w:r w:rsidRPr="00742AA4">
              <w:rPr>
                <w:sz w:val="19"/>
                <w:szCs w:val="19"/>
              </w:rPr>
              <w:t xml:space="preserve">per kalenderjaar (artikel 31, lid 2, onderdeel k, Participatiewet). </w:t>
            </w:r>
          </w:p>
        </w:tc>
        <w:tc>
          <w:tcPr>
            <w:tcW w:w="1418" w:type="dxa"/>
            <w:tcBorders>
              <w:top w:val="single" w:sz="4" w:space="0" w:color="auto"/>
              <w:left w:val="single" w:sz="4" w:space="0" w:color="auto"/>
              <w:bottom w:val="single" w:sz="4" w:space="0" w:color="auto"/>
              <w:right w:val="single" w:sz="4" w:space="0" w:color="auto"/>
            </w:tcBorders>
          </w:tcPr>
          <w:p w14:paraId="2D752E7A" w14:textId="77777777" w:rsidR="009908A9" w:rsidRDefault="009908A9" w:rsidP="009908A9">
            <w:pPr>
              <w:jc w:val="right"/>
              <w:rPr>
                <w:sz w:val="19"/>
                <w:szCs w:val="19"/>
              </w:rPr>
            </w:pPr>
          </w:p>
          <w:p w14:paraId="62611906" w14:textId="0384DA30" w:rsidR="009908A9" w:rsidRDefault="009908A9" w:rsidP="009908A9">
            <w:pPr>
              <w:jc w:val="right"/>
              <w:rPr>
                <w:sz w:val="19"/>
                <w:szCs w:val="19"/>
              </w:rPr>
            </w:pPr>
            <w:r w:rsidRPr="00742AA4">
              <w:rPr>
                <w:sz w:val="19"/>
                <w:szCs w:val="19"/>
              </w:rPr>
              <w:t xml:space="preserve">€ </w:t>
            </w:r>
            <w:r>
              <w:rPr>
                <w:sz w:val="19"/>
                <w:szCs w:val="19"/>
              </w:rPr>
              <w:t>210</w:t>
            </w:r>
            <w:r w:rsidRPr="00742AA4">
              <w:rPr>
                <w:sz w:val="19"/>
                <w:szCs w:val="19"/>
              </w:rPr>
              <w:t>,00</w:t>
            </w:r>
            <w:r>
              <w:rPr>
                <w:sz w:val="19"/>
                <w:szCs w:val="19"/>
              </w:rPr>
              <w:br/>
            </w:r>
            <w:r w:rsidRPr="00742AA4">
              <w:rPr>
                <w:sz w:val="19"/>
                <w:szCs w:val="19"/>
              </w:rPr>
              <w:t xml:space="preserve">€ </w:t>
            </w:r>
            <w:r>
              <w:rPr>
                <w:sz w:val="19"/>
                <w:szCs w:val="19"/>
              </w:rPr>
              <w:t>2.1</w:t>
            </w:r>
            <w:r w:rsidRPr="00742AA4">
              <w:rPr>
                <w:sz w:val="19"/>
                <w:szCs w:val="19"/>
              </w:rPr>
              <w:t>00,00</w:t>
            </w:r>
          </w:p>
        </w:tc>
        <w:tc>
          <w:tcPr>
            <w:tcW w:w="1418" w:type="dxa"/>
            <w:tcBorders>
              <w:top w:val="single" w:sz="4" w:space="0" w:color="auto"/>
              <w:left w:val="single" w:sz="4" w:space="0" w:color="auto"/>
              <w:bottom w:val="single" w:sz="4" w:space="0" w:color="auto"/>
              <w:right w:val="single" w:sz="4" w:space="0" w:color="auto"/>
            </w:tcBorders>
          </w:tcPr>
          <w:p w14:paraId="66C59439" w14:textId="4549A14E" w:rsidR="009908A9" w:rsidRDefault="009908A9" w:rsidP="009908A9">
            <w:pPr>
              <w:jc w:val="right"/>
              <w:rPr>
                <w:sz w:val="19"/>
                <w:szCs w:val="19"/>
              </w:rPr>
            </w:pPr>
          </w:p>
          <w:p w14:paraId="44D4416C" w14:textId="75B71FC5" w:rsidR="009908A9" w:rsidRPr="00742AA4" w:rsidRDefault="009908A9" w:rsidP="009908A9">
            <w:pPr>
              <w:jc w:val="right"/>
              <w:rPr>
                <w:sz w:val="19"/>
                <w:szCs w:val="19"/>
              </w:rPr>
            </w:pPr>
            <w:r w:rsidRPr="00742AA4">
              <w:rPr>
                <w:sz w:val="19"/>
                <w:szCs w:val="19"/>
              </w:rPr>
              <w:t>€ </w:t>
            </w:r>
            <w:r>
              <w:rPr>
                <w:sz w:val="19"/>
                <w:szCs w:val="19"/>
              </w:rPr>
              <w:t>210</w:t>
            </w:r>
            <w:r w:rsidRPr="00742AA4">
              <w:rPr>
                <w:sz w:val="19"/>
                <w:szCs w:val="19"/>
              </w:rPr>
              <w:t>,00</w:t>
            </w:r>
            <w:r>
              <w:rPr>
                <w:sz w:val="19"/>
                <w:szCs w:val="19"/>
              </w:rPr>
              <w:br/>
              <w:t>€ 2.1</w:t>
            </w:r>
            <w:r w:rsidRPr="00742AA4">
              <w:rPr>
                <w:sz w:val="19"/>
                <w:szCs w:val="19"/>
              </w:rPr>
              <w:t>00,00</w:t>
            </w:r>
          </w:p>
        </w:tc>
      </w:tr>
      <w:tr w:rsidR="009908A9" w:rsidRPr="00742AA4" w14:paraId="16DE6B3A" w14:textId="5B8B00B0" w:rsidTr="00C5141B">
        <w:trPr>
          <w:trHeight w:val="797"/>
        </w:trPr>
        <w:tc>
          <w:tcPr>
            <w:tcW w:w="6941" w:type="dxa"/>
          </w:tcPr>
          <w:p w14:paraId="3876F06A" w14:textId="58BE2C5D" w:rsidR="009908A9" w:rsidRDefault="009908A9" w:rsidP="009908A9">
            <w:pPr>
              <w:pStyle w:val="Lijstalinea"/>
              <w:numPr>
                <w:ilvl w:val="0"/>
                <w:numId w:val="2"/>
              </w:numPr>
              <w:rPr>
                <w:sz w:val="19"/>
                <w:szCs w:val="19"/>
              </w:rPr>
            </w:pPr>
            <w:r w:rsidRPr="00742AA4">
              <w:rPr>
                <w:sz w:val="19"/>
                <w:szCs w:val="19"/>
              </w:rPr>
              <w:t>de maximaal vrij te laten inkomsten uit arbeid (artikel 31, lid 2, onderdeel n, Participatiewet)</w:t>
            </w:r>
            <w:r>
              <w:rPr>
                <w:sz w:val="19"/>
                <w:szCs w:val="19"/>
              </w:rPr>
              <w:t>:</w:t>
            </w:r>
          </w:p>
          <w:p w14:paraId="0D8733E4" w14:textId="42A3CA19" w:rsidR="009908A9" w:rsidRPr="0031658E" w:rsidRDefault="009908A9" w:rsidP="009908A9">
            <w:pPr>
              <w:pStyle w:val="Lijstalinea"/>
              <w:ind w:left="360"/>
              <w:rPr>
                <w:sz w:val="19"/>
                <w:szCs w:val="19"/>
              </w:rPr>
            </w:pPr>
            <w:r>
              <w:rPr>
                <w:sz w:val="19"/>
                <w:szCs w:val="19"/>
              </w:rPr>
              <w:t>per maand.</w:t>
            </w:r>
            <w:r w:rsidRPr="00742AA4">
              <w:rPr>
                <w:sz w:val="19"/>
                <w:szCs w:val="19"/>
              </w:rPr>
              <w:t xml:space="preserve"> </w:t>
            </w:r>
          </w:p>
        </w:tc>
        <w:tc>
          <w:tcPr>
            <w:tcW w:w="1418" w:type="dxa"/>
          </w:tcPr>
          <w:p w14:paraId="1AB30B14" w14:textId="77777777" w:rsidR="009908A9" w:rsidRDefault="009908A9" w:rsidP="009908A9">
            <w:pPr>
              <w:jc w:val="right"/>
              <w:rPr>
                <w:sz w:val="19"/>
                <w:szCs w:val="19"/>
              </w:rPr>
            </w:pPr>
          </w:p>
          <w:p w14:paraId="0E88AF21" w14:textId="61BCB51D" w:rsidR="009908A9" w:rsidRDefault="009908A9" w:rsidP="009908A9">
            <w:pPr>
              <w:jc w:val="right"/>
              <w:rPr>
                <w:sz w:val="19"/>
                <w:szCs w:val="19"/>
              </w:rPr>
            </w:pPr>
            <w:r w:rsidRPr="00742AA4">
              <w:rPr>
                <w:sz w:val="19"/>
                <w:szCs w:val="19"/>
              </w:rPr>
              <w:t>€ 2</w:t>
            </w:r>
            <w:r>
              <w:rPr>
                <w:sz w:val="19"/>
                <w:szCs w:val="19"/>
              </w:rPr>
              <w:t>69</w:t>
            </w:r>
            <w:r w:rsidRPr="00742AA4">
              <w:rPr>
                <w:sz w:val="19"/>
                <w:szCs w:val="19"/>
              </w:rPr>
              <w:t>,00</w:t>
            </w:r>
          </w:p>
        </w:tc>
        <w:tc>
          <w:tcPr>
            <w:tcW w:w="1418" w:type="dxa"/>
          </w:tcPr>
          <w:p w14:paraId="58793AA7" w14:textId="770C9333" w:rsidR="009908A9" w:rsidRDefault="009908A9" w:rsidP="009908A9">
            <w:pPr>
              <w:jc w:val="right"/>
              <w:rPr>
                <w:sz w:val="19"/>
                <w:szCs w:val="19"/>
              </w:rPr>
            </w:pPr>
          </w:p>
          <w:p w14:paraId="1C3E67F4" w14:textId="31CF45F8" w:rsidR="009908A9" w:rsidRPr="00742AA4" w:rsidRDefault="009908A9" w:rsidP="009908A9">
            <w:pPr>
              <w:jc w:val="right"/>
              <w:rPr>
                <w:sz w:val="19"/>
                <w:szCs w:val="19"/>
              </w:rPr>
            </w:pPr>
            <w:r w:rsidRPr="00742AA4">
              <w:rPr>
                <w:sz w:val="19"/>
                <w:szCs w:val="19"/>
              </w:rPr>
              <w:t xml:space="preserve">€ </w:t>
            </w:r>
            <w:r>
              <w:rPr>
                <w:sz w:val="19"/>
                <w:szCs w:val="19"/>
              </w:rPr>
              <w:t>273,00</w:t>
            </w:r>
          </w:p>
        </w:tc>
      </w:tr>
      <w:tr w:rsidR="009908A9" w:rsidRPr="00742AA4" w14:paraId="7309DB86" w14:textId="3C7DF57C" w:rsidTr="009908A9">
        <w:trPr>
          <w:trHeight w:val="2840"/>
        </w:trPr>
        <w:tc>
          <w:tcPr>
            <w:tcW w:w="6941" w:type="dxa"/>
          </w:tcPr>
          <w:p w14:paraId="11DCE313" w14:textId="751585DA" w:rsidR="009908A9" w:rsidRDefault="009908A9" w:rsidP="009908A9">
            <w:pPr>
              <w:pStyle w:val="Lijstalinea"/>
              <w:numPr>
                <w:ilvl w:val="0"/>
                <w:numId w:val="2"/>
              </w:numPr>
              <w:rPr>
                <w:sz w:val="19"/>
                <w:szCs w:val="19"/>
              </w:rPr>
            </w:pPr>
            <w:r w:rsidRPr="00742AA4">
              <w:rPr>
                <w:sz w:val="19"/>
                <w:szCs w:val="19"/>
              </w:rPr>
              <w:t xml:space="preserve">de inkomsten uit arbeid van een alleenstaande ouder of alleenstaande ouder met een of meer meerderjarige kinderen tot 12,5 procent van deze inkomsten, met een maximum van: </w:t>
            </w:r>
          </w:p>
          <w:p w14:paraId="48C8C2AF" w14:textId="77777777" w:rsidR="009908A9" w:rsidRPr="00742AA4" w:rsidRDefault="009908A9" w:rsidP="009908A9">
            <w:pPr>
              <w:pStyle w:val="Lijstalinea"/>
              <w:ind w:left="360"/>
              <w:rPr>
                <w:sz w:val="19"/>
                <w:szCs w:val="19"/>
              </w:rPr>
            </w:pPr>
            <w:r w:rsidRPr="00742AA4">
              <w:rPr>
                <w:sz w:val="19"/>
                <w:szCs w:val="19"/>
              </w:rPr>
              <w:t>per maand, gedurende een aaneengesloten periode van maximaal 30 maanden, voor zover hij algemene bijstand ontvangt, ingeval:</w:t>
            </w:r>
          </w:p>
          <w:p w14:paraId="58E18D1D" w14:textId="77777777" w:rsidR="009908A9" w:rsidRPr="00FD5E48" w:rsidRDefault="009908A9" w:rsidP="009908A9">
            <w:pPr>
              <w:ind w:left="346"/>
              <w:rPr>
                <w:sz w:val="19"/>
                <w:szCs w:val="19"/>
              </w:rPr>
            </w:pPr>
            <w:r w:rsidRPr="00FD5E48">
              <w:rPr>
                <w:sz w:val="19"/>
                <w:szCs w:val="19"/>
              </w:rPr>
              <w:t>1° hij de volledige zorg heeft voor een tot zijn last komend kind tot 12 jaar,</w:t>
            </w:r>
          </w:p>
          <w:p w14:paraId="5FEF6DB2" w14:textId="77777777" w:rsidR="009908A9" w:rsidRPr="00FD5E48" w:rsidRDefault="009908A9" w:rsidP="009908A9">
            <w:pPr>
              <w:ind w:left="346"/>
              <w:rPr>
                <w:sz w:val="19"/>
                <w:szCs w:val="19"/>
              </w:rPr>
            </w:pPr>
            <w:r w:rsidRPr="00FD5E48">
              <w:rPr>
                <w:sz w:val="19"/>
                <w:szCs w:val="19"/>
              </w:rPr>
              <w:t>2° de periode van zes aaneengesloten maanden, bedoeld in artikel 31, lid 2, onderdeel n, Participatiewet, is verstreken, en</w:t>
            </w:r>
          </w:p>
          <w:p w14:paraId="3380E625" w14:textId="0EDD82DA" w:rsidR="009908A9" w:rsidRPr="00742AA4" w:rsidRDefault="009908A9" w:rsidP="009908A9">
            <w:pPr>
              <w:ind w:left="346"/>
              <w:rPr>
                <w:sz w:val="19"/>
                <w:szCs w:val="19"/>
              </w:rPr>
            </w:pPr>
            <w:r w:rsidRPr="00A80AB4">
              <w:rPr>
                <w:sz w:val="19"/>
                <w:szCs w:val="19"/>
              </w:rPr>
              <w:t>3° dit volgens het college bijdraagt aan zijn arbeidsinschakeling (artikel 31, lid 2, onderdeel r, Participatiewet)</w:t>
            </w:r>
            <w:r>
              <w:rPr>
                <w:sz w:val="19"/>
                <w:szCs w:val="19"/>
              </w:rPr>
              <w:t>.</w:t>
            </w:r>
          </w:p>
        </w:tc>
        <w:tc>
          <w:tcPr>
            <w:tcW w:w="1418" w:type="dxa"/>
          </w:tcPr>
          <w:p w14:paraId="2802C379" w14:textId="77777777" w:rsidR="009908A9" w:rsidRDefault="009908A9" w:rsidP="009908A9">
            <w:pPr>
              <w:jc w:val="right"/>
              <w:rPr>
                <w:sz w:val="19"/>
                <w:szCs w:val="19"/>
              </w:rPr>
            </w:pPr>
          </w:p>
          <w:p w14:paraId="0D11B474" w14:textId="77777777" w:rsidR="009908A9" w:rsidRDefault="009908A9" w:rsidP="009908A9">
            <w:pPr>
              <w:jc w:val="right"/>
              <w:rPr>
                <w:sz w:val="19"/>
                <w:szCs w:val="19"/>
              </w:rPr>
            </w:pPr>
          </w:p>
          <w:p w14:paraId="5BB75DC4" w14:textId="7B448228" w:rsidR="009908A9" w:rsidRDefault="009908A9" w:rsidP="009908A9">
            <w:pPr>
              <w:jc w:val="right"/>
              <w:rPr>
                <w:sz w:val="19"/>
                <w:szCs w:val="19"/>
              </w:rPr>
            </w:pPr>
            <w:r w:rsidRPr="00742AA4">
              <w:rPr>
                <w:sz w:val="19"/>
                <w:szCs w:val="19"/>
              </w:rPr>
              <w:t xml:space="preserve">€ </w:t>
            </w:r>
            <w:r>
              <w:rPr>
                <w:sz w:val="19"/>
                <w:szCs w:val="19"/>
              </w:rPr>
              <w:t>167,79</w:t>
            </w:r>
          </w:p>
        </w:tc>
        <w:tc>
          <w:tcPr>
            <w:tcW w:w="1418" w:type="dxa"/>
          </w:tcPr>
          <w:p w14:paraId="4F73580F" w14:textId="10BDC83C" w:rsidR="009908A9" w:rsidRDefault="009908A9" w:rsidP="009908A9">
            <w:pPr>
              <w:jc w:val="right"/>
              <w:rPr>
                <w:sz w:val="19"/>
                <w:szCs w:val="19"/>
              </w:rPr>
            </w:pPr>
          </w:p>
          <w:p w14:paraId="5E61FA99" w14:textId="77777777" w:rsidR="009908A9" w:rsidRDefault="009908A9" w:rsidP="009908A9">
            <w:pPr>
              <w:jc w:val="right"/>
              <w:rPr>
                <w:sz w:val="19"/>
                <w:szCs w:val="19"/>
              </w:rPr>
            </w:pPr>
          </w:p>
          <w:p w14:paraId="4B848CA9" w14:textId="1EF0661D" w:rsidR="009908A9" w:rsidRPr="00742AA4" w:rsidRDefault="009908A9" w:rsidP="009908A9">
            <w:pPr>
              <w:jc w:val="right"/>
              <w:rPr>
                <w:sz w:val="19"/>
                <w:szCs w:val="19"/>
              </w:rPr>
            </w:pPr>
            <w:r w:rsidRPr="00742AA4">
              <w:rPr>
                <w:sz w:val="19"/>
                <w:szCs w:val="19"/>
              </w:rPr>
              <w:t xml:space="preserve">€ </w:t>
            </w:r>
            <w:r>
              <w:rPr>
                <w:sz w:val="19"/>
                <w:szCs w:val="19"/>
              </w:rPr>
              <w:t>170,61</w:t>
            </w:r>
          </w:p>
        </w:tc>
      </w:tr>
    </w:tbl>
    <w:p w14:paraId="0B4950BC" w14:textId="77777777" w:rsidR="009908A9" w:rsidRDefault="009908A9" w:rsidP="3D31729A">
      <w:pPr>
        <w:rPr>
          <w:rFonts w:cs="Arial"/>
          <w:i/>
          <w:iCs/>
          <w:sz w:val="19"/>
          <w:szCs w:val="19"/>
        </w:rPr>
      </w:pPr>
    </w:p>
    <w:tbl>
      <w:tblPr>
        <w:tblW w:w="9787" w:type="dxa"/>
        <w:tblCellMar>
          <w:left w:w="70" w:type="dxa"/>
          <w:right w:w="70" w:type="dxa"/>
        </w:tblCellMar>
        <w:tblLook w:val="0000" w:firstRow="0" w:lastRow="0" w:firstColumn="0" w:lastColumn="0" w:noHBand="0" w:noVBand="0"/>
      </w:tblPr>
      <w:tblGrid>
        <w:gridCol w:w="6941"/>
        <w:gridCol w:w="1423"/>
        <w:gridCol w:w="1423"/>
      </w:tblGrid>
      <w:tr w:rsidR="00C5141B" w:rsidRPr="00A80AB4" w14:paraId="0FE5C42E" w14:textId="77777777" w:rsidTr="00C5141B">
        <w:tc>
          <w:tcPr>
            <w:tcW w:w="6941" w:type="dxa"/>
            <w:vMerge w:val="restart"/>
          </w:tcPr>
          <w:p w14:paraId="78E7C45C" w14:textId="77777777" w:rsidR="00C5141B" w:rsidRPr="00A80AB4" w:rsidRDefault="00C5141B" w:rsidP="00C5141B">
            <w:pPr>
              <w:rPr>
                <w:rFonts w:cs="Arial"/>
                <w:sz w:val="19"/>
                <w:szCs w:val="19"/>
              </w:rPr>
            </w:pPr>
            <w:r w:rsidRPr="00704E30">
              <w:rPr>
                <w:rFonts w:cs="Arial"/>
                <w:i/>
                <w:sz w:val="19"/>
                <w:szCs w:val="19"/>
              </w:rPr>
              <w:t>Uitgave voor het houden van kostgangers</w:t>
            </w:r>
          </w:p>
          <w:p w14:paraId="5DF3C9A9" w14:textId="588589EA" w:rsidR="00C5141B" w:rsidRPr="00A80AB4" w:rsidRDefault="00C5141B" w:rsidP="00C5141B">
            <w:pPr>
              <w:rPr>
                <w:rFonts w:cs="Arial"/>
                <w:sz w:val="19"/>
                <w:szCs w:val="19"/>
              </w:rPr>
            </w:pPr>
            <w:r w:rsidRPr="00A80AB4">
              <w:rPr>
                <w:rFonts w:cs="Arial"/>
                <w:sz w:val="19"/>
                <w:szCs w:val="19"/>
              </w:rPr>
              <w:t xml:space="preserve">In artikel 15, </w:t>
            </w:r>
            <w:r>
              <w:rPr>
                <w:rFonts w:cs="Arial"/>
                <w:sz w:val="19"/>
                <w:szCs w:val="19"/>
              </w:rPr>
              <w:t>lid 1</w:t>
            </w:r>
            <w:r w:rsidRPr="00A80AB4">
              <w:rPr>
                <w:rFonts w:cs="Arial"/>
                <w:sz w:val="19"/>
                <w:szCs w:val="19"/>
              </w:rPr>
              <w:t>, onderdeel f, U</w:t>
            </w:r>
            <w:r>
              <w:rPr>
                <w:rFonts w:cs="Arial"/>
                <w:sz w:val="19"/>
                <w:szCs w:val="19"/>
              </w:rPr>
              <w:t>RIW</w:t>
            </w:r>
            <w:r w:rsidRPr="00A80AB4">
              <w:rPr>
                <w:rFonts w:cs="Arial"/>
                <w:sz w:val="19"/>
                <w:szCs w:val="19"/>
              </w:rPr>
              <w:t xml:space="preserve"> 1990 is het bedrag </w:t>
            </w:r>
            <w:r>
              <w:rPr>
                <w:rFonts w:cs="Arial"/>
                <w:sz w:val="19"/>
                <w:szCs w:val="19"/>
              </w:rPr>
              <w:t>o</w:t>
            </w:r>
            <w:r w:rsidRPr="00A80AB4">
              <w:rPr>
                <w:rFonts w:cs="Arial"/>
                <w:sz w:val="19"/>
                <w:szCs w:val="19"/>
              </w:rPr>
              <w:t xml:space="preserve">pgenomen dat bij de vaststelling van de betalingscapaciteit, bedoeld in artikel 11 URIW 1990, in aanmerking mag worden genomen als uitgave voor het houden van kostgangers. Dit bedrag </w:t>
            </w:r>
            <w:r w:rsidR="002A74E5">
              <w:rPr>
                <w:rFonts w:cs="Arial"/>
                <w:sz w:val="19"/>
                <w:szCs w:val="19"/>
              </w:rPr>
              <w:t>is</w:t>
            </w:r>
            <w:r>
              <w:rPr>
                <w:rFonts w:cs="Arial"/>
                <w:sz w:val="19"/>
                <w:szCs w:val="19"/>
              </w:rPr>
              <w:t xml:space="preserve">: </w:t>
            </w:r>
          </w:p>
        </w:tc>
        <w:tc>
          <w:tcPr>
            <w:tcW w:w="1423" w:type="dxa"/>
          </w:tcPr>
          <w:p w14:paraId="3DFC5539" w14:textId="4E990CC1" w:rsidR="00C5141B" w:rsidRDefault="00C5141B" w:rsidP="00C5141B">
            <w:pPr>
              <w:rPr>
                <w:sz w:val="19"/>
                <w:szCs w:val="19"/>
              </w:rPr>
            </w:pPr>
            <w:r>
              <w:rPr>
                <w:sz w:val="19"/>
                <w:szCs w:val="19"/>
              </w:rPr>
              <w:t xml:space="preserve">       1 juli 2024</w:t>
            </w:r>
          </w:p>
        </w:tc>
        <w:tc>
          <w:tcPr>
            <w:tcW w:w="1423" w:type="dxa"/>
          </w:tcPr>
          <w:p w14:paraId="6C8C4556" w14:textId="3D17EFF6" w:rsidR="00C5141B" w:rsidRPr="00A80AB4" w:rsidRDefault="00C5141B" w:rsidP="00C5141B">
            <w:pPr>
              <w:rPr>
                <w:rFonts w:cs="Arial"/>
                <w:sz w:val="19"/>
                <w:szCs w:val="19"/>
              </w:rPr>
            </w:pPr>
            <w:r>
              <w:rPr>
                <w:sz w:val="19"/>
                <w:szCs w:val="19"/>
              </w:rPr>
              <w:t xml:space="preserve"> 1 januari 2025</w:t>
            </w:r>
          </w:p>
        </w:tc>
      </w:tr>
      <w:tr w:rsidR="00C5141B" w:rsidRPr="00A80AB4" w14:paraId="34783002" w14:textId="21D6264D" w:rsidTr="00C5141B">
        <w:tc>
          <w:tcPr>
            <w:tcW w:w="6941" w:type="dxa"/>
            <w:vMerge/>
          </w:tcPr>
          <w:p w14:paraId="39740F35" w14:textId="4D094D50" w:rsidR="00C5141B" w:rsidRPr="00A80AB4" w:rsidRDefault="00C5141B" w:rsidP="00C5141B">
            <w:pPr>
              <w:rPr>
                <w:rFonts w:cs="Arial"/>
                <w:sz w:val="19"/>
                <w:szCs w:val="19"/>
              </w:rPr>
            </w:pPr>
          </w:p>
        </w:tc>
        <w:tc>
          <w:tcPr>
            <w:tcW w:w="1423" w:type="dxa"/>
          </w:tcPr>
          <w:p w14:paraId="6D18F9AE" w14:textId="77777777" w:rsidR="00C5141B" w:rsidRDefault="00C5141B" w:rsidP="00C5141B">
            <w:pPr>
              <w:jc w:val="right"/>
              <w:rPr>
                <w:rFonts w:cs="Arial"/>
                <w:sz w:val="19"/>
                <w:szCs w:val="19"/>
              </w:rPr>
            </w:pPr>
          </w:p>
          <w:p w14:paraId="722F742E" w14:textId="77777777" w:rsidR="00C5141B" w:rsidRDefault="00C5141B" w:rsidP="00C5141B">
            <w:pPr>
              <w:jc w:val="right"/>
              <w:rPr>
                <w:rFonts w:cs="Arial"/>
                <w:sz w:val="19"/>
                <w:szCs w:val="19"/>
              </w:rPr>
            </w:pPr>
          </w:p>
          <w:p w14:paraId="26E09F9D" w14:textId="77777777" w:rsidR="00C5141B" w:rsidRDefault="00C5141B" w:rsidP="00C5141B">
            <w:pPr>
              <w:jc w:val="right"/>
              <w:rPr>
                <w:rFonts w:cs="Arial"/>
                <w:sz w:val="19"/>
                <w:szCs w:val="19"/>
              </w:rPr>
            </w:pPr>
          </w:p>
          <w:p w14:paraId="7D7F95F8" w14:textId="624908BA" w:rsidR="00C5141B" w:rsidRDefault="00C5141B" w:rsidP="00C5141B">
            <w:pPr>
              <w:jc w:val="right"/>
              <w:rPr>
                <w:rFonts w:cs="Arial"/>
                <w:sz w:val="19"/>
                <w:szCs w:val="19"/>
              </w:rPr>
            </w:pPr>
            <w:r w:rsidRPr="00A80AB4">
              <w:rPr>
                <w:rFonts w:cs="Arial"/>
                <w:sz w:val="19"/>
                <w:szCs w:val="19"/>
              </w:rPr>
              <w:t xml:space="preserve">€ </w:t>
            </w:r>
            <w:r>
              <w:rPr>
                <w:rFonts w:cs="Arial"/>
                <w:sz w:val="19"/>
                <w:szCs w:val="19"/>
              </w:rPr>
              <w:t>17,70</w:t>
            </w:r>
          </w:p>
        </w:tc>
        <w:tc>
          <w:tcPr>
            <w:tcW w:w="1423" w:type="dxa"/>
          </w:tcPr>
          <w:p w14:paraId="5F478141" w14:textId="145E3763" w:rsidR="00C5141B" w:rsidRDefault="00C5141B" w:rsidP="00C5141B">
            <w:pPr>
              <w:jc w:val="right"/>
              <w:rPr>
                <w:rFonts w:cs="Arial"/>
                <w:sz w:val="19"/>
                <w:szCs w:val="19"/>
              </w:rPr>
            </w:pPr>
          </w:p>
          <w:p w14:paraId="4DA97E4A" w14:textId="77777777" w:rsidR="00C5141B" w:rsidRDefault="00C5141B" w:rsidP="00C5141B">
            <w:pPr>
              <w:jc w:val="right"/>
              <w:rPr>
                <w:rFonts w:cs="Arial"/>
                <w:sz w:val="19"/>
                <w:szCs w:val="19"/>
              </w:rPr>
            </w:pPr>
          </w:p>
          <w:p w14:paraId="2997BA21" w14:textId="77777777" w:rsidR="00C5141B" w:rsidRDefault="00C5141B" w:rsidP="00C5141B">
            <w:pPr>
              <w:jc w:val="right"/>
              <w:rPr>
                <w:rFonts w:cs="Arial"/>
                <w:sz w:val="19"/>
                <w:szCs w:val="19"/>
              </w:rPr>
            </w:pPr>
          </w:p>
          <w:p w14:paraId="0C0A919D" w14:textId="624A56CE" w:rsidR="00C5141B" w:rsidRPr="00A80AB4" w:rsidRDefault="00C5141B" w:rsidP="00C5141B">
            <w:pPr>
              <w:jc w:val="right"/>
              <w:rPr>
                <w:rFonts w:cs="Arial"/>
                <w:sz w:val="19"/>
                <w:szCs w:val="19"/>
              </w:rPr>
            </w:pPr>
            <w:r w:rsidRPr="00A80AB4">
              <w:rPr>
                <w:rFonts w:cs="Arial"/>
                <w:sz w:val="19"/>
                <w:szCs w:val="19"/>
              </w:rPr>
              <w:t xml:space="preserve">€ </w:t>
            </w:r>
            <w:r>
              <w:rPr>
                <w:rFonts w:cs="Arial"/>
                <w:sz w:val="19"/>
                <w:szCs w:val="19"/>
              </w:rPr>
              <w:t>1</w:t>
            </w:r>
            <w:r>
              <w:rPr>
                <w:sz w:val="19"/>
                <w:szCs w:val="19"/>
              </w:rPr>
              <w:t>5,35</w:t>
            </w:r>
          </w:p>
        </w:tc>
      </w:tr>
    </w:tbl>
    <w:p w14:paraId="44230AA2" w14:textId="77777777" w:rsidR="00C5141B" w:rsidRDefault="00C5141B" w:rsidP="003030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i/>
          <w:sz w:val="19"/>
          <w:szCs w:val="19"/>
        </w:rPr>
      </w:pPr>
    </w:p>
    <w:p w14:paraId="20BE99A2" w14:textId="326157E3" w:rsidR="000F3330" w:rsidRPr="002A74E5" w:rsidRDefault="00E403FA" w:rsidP="003030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iCs/>
          <w:sz w:val="19"/>
          <w:szCs w:val="19"/>
        </w:rPr>
      </w:pPr>
      <w:r w:rsidRPr="00C5141B">
        <w:rPr>
          <w:rFonts w:cs="Arial"/>
          <w:i/>
          <w:sz w:val="19"/>
          <w:szCs w:val="19"/>
        </w:rPr>
        <w:t>Andere uitgaven</w:t>
      </w:r>
      <w:r w:rsidR="002A74E5">
        <w:rPr>
          <w:rFonts w:cs="Arial"/>
          <w:i/>
          <w:sz w:val="19"/>
          <w:szCs w:val="19"/>
        </w:rPr>
        <w:t xml:space="preserve"> </w:t>
      </w:r>
      <w:r w:rsidR="002A74E5" w:rsidRPr="002A74E5">
        <w:rPr>
          <w:rFonts w:cs="Arial"/>
          <w:iCs/>
          <w:sz w:val="19"/>
          <w:szCs w:val="19"/>
        </w:rPr>
        <w:t>(nieuw onderdeel g van artikel 15, lid 1</w:t>
      </w:r>
      <w:r w:rsidR="002A74E5">
        <w:rPr>
          <w:rFonts w:cs="Arial"/>
          <w:iCs/>
          <w:sz w:val="19"/>
          <w:szCs w:val="19"/>
        </w:rPr>
        <w:t>, URIW 1990)</w:t>
      </w:r>
    </w:p>
    <w:p w14:paraId="79A2A5C6" w14:textId="2907DAB2" w:rsidR="00E403FA" w:rsidRPr="00C5141B" w:rsidRDefault="00E403FA" w:rsidP="00E403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iCs/>
          <w:sz w:val="19"/>
          <w:szCs w:val="19"/>
        </w:rPr>
      </w:pPr>
      <w:r>
        <w:rPr>
          <w:rFonts w:cs="Arial"/>
          <w:iCs/>
          <w:sz w:val="19"/>
          <w:szCs w:val="19"/>
        </w:rPr>
        <w:t xml:space="preserve">Per 1 januari 2025 worden op grond van artikel 15, </w:t>
      </w:r>
      <w:r w:rsidR="00C5141B">
        <w:rPr>
          <w:rFonts w:cs="Arial"/>
          <w:iCs/>
          <w:sz w:val="19"/>
          <w:szCs w:val="19"/>
        </w:rPr>
        <w:t>lid 1</w:t>
      </w:r>
      <w:r>
        <w:rPr>
          <w:rFonts w:cs="Arial"/>
          <w:iCs/>
          <w:sz w:val="19"/>
          <w:szCs w:val="19"/>
        </w:rPr>
        <w:t>, onderdeel g, U</w:t>
      </w:r>
      <w:r w:rsidR="00C5141B">
        <w:rPr>
          <w:rFonts w:cs="Arial"/>
          <w:iCs/>
          <w:sz w:val="19"/>
          <w:szCs w:val="19"/>
        </w:rPr>
        <w:t>RIW</w:t>
      </w:r>
      <w:r>
        <w:rPr>
          <w:rFonts w:cs="Arial"/>
          <w:iCs/>
          <w:sz w:val="19"/>
          <w:szCs w:val="19"/>
        </w:rPr>
        <w:t xml:space="preserve"> 1990</w:t>
      </w:r>
      <w:r w:rsidR="002B5C36">
        <w:rPr>
          <w:rFonts w:cs="Arial"/>
          <w:iCs/>
          <w:sz w:val="19"/>
          <w:szCs w:val="19"/>
        </w:rPr>
        <w:t xml:space="preserve"> in aanmerking genomen</w:t>
      </w:r>
      <w:r w:rsidRPr="00C5141B">
        <w:rPr>
          <w:rFonts w:cs="Arial"/>
          <w:iCs/>
          <w:sz w:val="19"/>
          <w:szCs w:val="19"/>
        </w:rPr>
        <w:t xml:space="preserve"> andere uitgaven van de belastingschuldige dan genoemd in </w:t>
      </w:r>
      <w:r w:rsidR="002B5C36">
        <w:rPr>
          <w:rFonts w:cs="Arial"/>
          <w:iCs/>
          <w:sz w:val="19"/>
          <w:szCs w:val="19"/>
        </w:rPr>
        <w:t>artikel 15</w:t>
      </w:r>
      <w:r w:rsidR="00C5141B">
        <w:rPr>
          <w:rFonts w:cs="Arial"/>
          <w:iCs/>
          <w:sz w:val="19"/>
          <w:szCs w:val="19"/>
        </w:rPr>
        <w:t>,</w:t>
      </w:r>
      <w:r w:rsidR="002B5C36">
        <w:rPr>
          <w:rFonts w:cs="Arial"/>
          <w:iCs/>
          <w:sz w:val="19"/>
          <w:szCs w:val="19"/>
        </w:rPr>
        <w:t xml:space="preserve"> lid 1, </w:t>
      </w:r>
      <w:r w:rsidRPr="00C5141B">
        <w:rPr>
          <w:rFonts w:cs="Arial"/>
          <w:iCs/>
          <w:sz w:val="19"/>
          <w:szCs w:val="19"/>
        </w:rPr>
        <w:t>die naar het oordeel van de</w:t>
      </w:r>
      <w:r w:rsidR="002B5C36">
        <w:rPr>
          <w:rFonts w:cs="Arial"/>
          <w:iCs/>
          <w:sz w:val="19"/>
          <w:szCs w:val="19"/>
        </w:rPr>
        <w:t xml:space="preserve"> invorderingsambtenaar </w:t>
      </w:r>
      <w:r w:rsidRPr="00C5141B">
        <w:rPr>
          <w:rFonts w:cs="Arial"/>
          <w:iCs/>
          <w:sz w:val="19"/>
          <w:szCs w:val="19"/>
        </w:rPr>
        <w:t>redelijkerwijs niet buiten beschouwing kunnen worden gelaten bij het vaststellen</w:t>
      </w:r>
      <w:r w:rsidR="002B5C36">
        <w:rPr>
          <w:rFonts w:cs="Arial"/>
          <w:iCs/>
          <w:sz w:val="19"/>
          <w:szCs w:val="19"/>
        </w:rPr>
        <w:t xml:space="preserve"> </w:t>
      </w:r>
      <w:r w:rsidRPr="00C5141B">
        <w:rPr>
          <w:rFonts w:cs="Arial"/>
          <w:iCs/>
          <w:sz w:val="19"/>
          <w:szCs w:val="19"/>
        </w:rPr>
        <w:t xml:space="preserve">van </w:t>
      </w:r>
      <w:r w:rsidRPr="00C5141B">
        <w:rPr>
          <w:rFonts w:cs="Arial"/>
          <w:iCs/>
          <w:sz w:val="19"/>
          <w:szCs w:val="19"/>
        </w:rPr>
        <w:lastRenderedPageBreak/>
        <w:t xml:space="preserve">het netto-besteedbare inkomen, omdat deze uitgaven door de </w:t>
      </w:r>
      <w:r w:rsidR="002B5C36">
        <w:rPr>
          <w:rFonts w:cs="Arial"/>
          <w:iCs/>
          <w:sz w:val="19"/>
          <w:szCs w:val="19"/>
        </w:rPr>
        <w:t>invorderingsambtenaar</w:t>
      </w:r>
      <w:r w:rsidRPr="00C5141B">
        <w:rPr>
          <w:rFonts w:cs="Arial"/>
          <w:iCs/>
          <w:sz w:val="19"/>
          <w:szCs w:val="19"/>
        </w:rPr>
        <w:t xml:space="preserve"> noodzakelijk</w:t>
      </w:r>
      <w:r w:rsidR="002B5C36">
        <w:rPr>
          <w:rFonts w:cs="Arial"/>
          <w:iCs/>
          <w:sz w:val="19"/>
          <w:szCs w:val="19"/>
        </w:rPr>
        <w:t xml:space="preserve"> </w:t>
      </w:r>
      <w:r w:rsidRPr="00C5141B">
        <w:rPr>
          <w:rFonts w:cs="Arial"/>
          <w:iCs/>
          <w:sz w:val="19"/>
          <w:szCs w:val="19"/>
        </w:rPr>
        <w:t>worden geacht</w:t>
      </w:r>
      <w:r w:rsidR="002B5C36">
        <w:rPr>
          <w:rFonts w:cs="Arial"/>
          <w:iCs/>
          <w:sz w:val="19"/>
          <w:szCs w:val="19"/>
        </w:rPr>
        <w:t>.</w:t>
      </w:r>
    </w:p>
    <w:p w14:paraId="53076483" w14:textId="0ECB1A5A" w:rsidR="00303075" w:rsidRPr="000F3330" w:rsidRDefault="00303075" w:rsidP="003030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i/>
          <w:sz w:val="19"/>
          <w:szCs w:val="19"/>
        </w:rPr>
      </w:pPr>
      <w:r w:rsidRPr="000F3330">
        <w:rPr>
          <w:rFonts w:cs="Arial"/>
          <w:i/>
          <w:sz w:val="19"/>
          <w:szCs w:val="19"/>
        </w:rPr>
        <w:t>Normen huurtoeslag</w:t>
      </w:r>
    </w:p>
    <w:p w14:paraId="0B5F2BA4" w14:textId="77777777" w:rsidR="00081B06" w:rsidRDefault="00303075" w:rsidP="002B5C3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 w:val="19"/>
          <w:szCs w:val="19"/>
        </w:rPr>
      </w:pPr>
      <w:r w:rsidRPr="000F3330">
        <w:rPr>
          <w:rFonts w:cs="Arial"/>
          <w:sz w:val="19"/>
          <w:szCs w:val="19"/>
        </w:rPr>
        <w:t xml:space="preserve">De normen voor de huurtoeslag </w:t>
      </w:r>
      <w:r w:rsidR="00F444E3">
        <w:rPr>
          <w:rFonts w:cs="Arial"/>
          <w:sz w:val="19"/>
          <w:szCs w:val="19"/>
        </w:rPr>
        <w:t>worden op 1 januari van elk jaar gewijzigd of opnieuw vastgesteld</w:t>
      </w:r>
      <w:r w:rsidR="00F47DC6" w:rsidRPr="000F3330">
        <w:rPr>
          <w:rFonts w:cs="Arial"/>
          <w:sz w:val="19"/>
          <w:szCs w:val="19"/>
        </w:rPr>
        <w:t>.</w:t>
      </w:r>
      <w:r w:rsidRPr="000F3330">
        <w:rPr>
          <w:rFonts w:cs="Arial"/>
          <w:sz w:val="19"/>
          <w:szCs w:val="19"/>
        </w:rPr>
        <w:t xml:space="preserve"> </w:t>
      </w:r>
      <w:r w:rsidR="002B5C36">
        <w:rPr>
          <w:rFonts w:cs="Arial"/>
          <w:sz w:val="19"/>
          <w:szCs w:val="19"/>
        </w:rPr>
        <w:t xml:space="preserve">Per </w:t>
      </w:r>
    </w:p>
    <w:p w14:paraId="4A7870C4" w14:textId="325BEB50" w:rsidR="002A74E5" w:rsidRDefault="002B5C36" w:rsidP="002B5C3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 w:val="19"/>
          <w:szCs w:val="19"/>
        </w:rPr>
      </w:pPr>
      <w:r>
        <w:rPr>
          <w:rFonts w:cs="Arial"/>
          <w:sz w:val="19"/>
          <w:szCs w:val="19"/>
        </w:rPr>
        <w:t xml:space="preserve">1 januari 2025 is het </w:t>
      </w:r>
      <w:r w:rsidRPr="002B5C36">
        <w:rPr>
          <w:rFonts w:cs="Arial"/>
          <w:sz w:val="19"/>
          <w:szCs w:val="19"/>
        </w:rPr>
        <w:t>aantal huishoudtypes in de huurtoeslag</w:t>
      </w:r>
      <w:r>
        <w:rPr>
          <w:rFonts w:cs="Arial"/>
          <w:sz w:val="19"/>
          <w:szCs w:val="19"/>
        </w:rPr>
        <w:t xml:space="preserve"> geharmoniseerd. Het </w:t>
      </w:r>
      <w:r w:rsidRPr="002B5C36">
        <w:rPr>
          <w:rFonts w:cs="Arial"/>
          <w:sz w:val="19"/>
          <w:szCs w:val="19"/>
        </w:rPr>
        <w:t>aantal huishoudtypes gaat van 4 naar 2</w:t>
      </w:r>
      <w:r>
        <w:rPr>
          <w:rFonts w:cs="Arial"/>
          <w:sz w:val="19"/>
          <w:szCs w:val="19"/>
        </w:rPr>
        <w:t xml:space="preserve"> (het</w:t>
      </w:r>
      <w:r w:rsidRPr="002B5C36">
        <w:rPr>
          <w:rFonts w:cs="Arial"/>
          <w:sz w:val="19"/>
          <w:szCs w:val="19"/>
        </w:rPr>
        <w:t xml:space="preserve"> verschil in huurtoeslag tussen ouderen en niet-ouderen </w:t>
      </w:r>
      <w:r>
        <w:rPr>
          <w:rFonts w:cs="Arial"/>
          <w:sz w:val="19"/>
          <w:szCs w:val="19"/>
        </w:rPr>
        <w:t>is vervallen).</w:t>
      </w:r>
    </w:p>
    <w:p w14:paraId="0D541807" w14:textId="3463692F" w:rsidR="00303075" w:rsidRDefault="00303075" w:rsidP="002B5C3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 w:val="19"/>
          <w:szCs w:val="19"/>
        </w:rPr>
      </w:pPr>
      <w:r w:rsidRPr="000F3330">
        <w:rPr>
          <w:rFonts w:cs="Arial"/>
          <w:sz w:val="19"/>
          <w:szCs w:val="19"/>
        </w:rPr>
        <w:t>Voor de kwijtschelding zijn</w:t>
      </w:r>
      <w:r w:rsidR="00D42390">
        <w:rPr>
          <w:rFonts w:cs="Arial"/>
          <w:sz w:val="19"/>
          <w:szCs w:val="19"/>
        </w:rPr>
        <w:t xml:space="preserve"> </w:t>
      </w:r>
      <w:r w:rsidR="00FA7E8C">
        <w:rPr>
          <w:rFonts w:cs="Arial"/>
          <w:sz w:val="19"/>
          <w:szCs w:val="19"/>
        </w:rPr>
        <w:t xml:space="preserve">de volgende </w:t>
      </w:r>
      <w:r w:rsidRPr="000F3330">
        <w:rPr>
          <w:rFonts w:cs="Arial"/>
          <w:sz w:val="19"/>
          <w:szCs w:val="19"/>
        </w:rPr>
        <w:t>bedragen</w:t>
      </w:r>
      <w:r w:rsidR="00FA7E8C">
        <w:rPr>
          <w:rFonts w:cs="Arial"/>
          <w:sz w:val="19"/>
          <w:szCs w:val="19"/>
        </w:rPr>
        <w:t xml:space="preserve"> relevant</w:t>
      </w:r>
      <w:r w:rsidR="00EC52F2" w:rsidRPr="005D2ED3">
        <w:rPr>
          <w:rStyle w:val="Voetnootmarkering"/>
          <w:sz w:val="19"/>
          <w:szCs w:val="19"/>
          <w:vertAlign w:val="superscript"/>
        </w:rPr>
        <w:footnoteReference w:id="5"/>
      </w:r>
      <w:r w:rsidRPr="000F3330">
        <w:rPr>
          <w:rFonts w:cs="Arial"/>
          <w:sz w:val="19"/>
          <w:szCs w:val="19"/>
        </w:rPr>
        <w:t>:</w:t>
      </w:r>
    </w:p>
    <w:p w14:paraId="0401A0B1" w14:textId="77777777" w:rsidR="002B5C36" w:rsidRDefault="002B5C36" w:rsidP="002B5C3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 w:val="19"/>
          <w:szCs w:val="19"/>
        </w:rPr>
      </w:pPr>
    </w:p>
    <w:tbl>
      <w:tblPr>
        <w:tblW w:w="8359" w:type="dxa"/>
        <w:tblCellMar>
          <w:left w:w="70" w:type="dxa"/>
          <w:right w:w="70" w:type="dxa"/>
        </w:tblCellMar>
        <w:tblLook w:val="0000" w:firstRow="0" w:lastRow="0" w:firstColumn="0" w:lastColumn="0" w:noHBand="0" w:noVBand="0"/>
      </w:tblPr>
      <w:tblGrid>
        <w:gridCol w:w="5949"/>
        <w:gridCol w:w="2410"/>
      </w:tblGrid>
      <w:tr w:rsidR="002A74E5" w:rsidRPr="00A80AB4" w14:paraId="25FFBE14" w14:textId="77777777" w:rsidTr="00081B06">
        <w:tc>
          <w:tcPr>
            <w:tcW w:w="5949" w:type="dxa"/>
          </w:tcPr>
          <w:p w14:paraId="0FC9D15C" w14:textId="77777777" w:rsidR="002A74E5" w:rsidRPr="00F35027" w:rsidRDefault="002A74E5" w:rsidP="00FD54F9">
            <w:pPr>
              <w:rPr>
                <w:rFonts w:cs="Arial"/>
                <w:i/>
                <w:iCs/>
                <w:sz w:val="19"/>
                <w:szCs w:val="19"/>
              </w:rPr>
            </w:pPr>
            <w:r w:rsidRPr="00F35027">
              <w:rPr>
                <w:rFonts w:cs="Arial"/>
                <w:i/>
                <w:iCs/>
                <w:sz w:val="19"/>
                <w:szCs w:val="19"/>
              </w:rPr>
              <w:t>Minimumbedrag netto huurlasten (normhuur):</w:t>
            </w:r>
          </w:p>
        </w:tc>
        <w:tc>
          <w:tcPr>
            <w:tcW w:w="2410" w:type="dxa"/>
          </w:tcPr>
          <w:p w14:paraId="38797163" w14:textId="1487AF79" w:rsidR="002A74E5" w:rsidRPr="002A74E5" w:rsidRDefault="002A74E5" w:rsidP="00FD54F9">
            <w:pPr>
              <w:jc w:val="right"/>
              <w:rPr>
                <w:b/>
                <w:bCs/>
                <w:sz w:val="19"/>
                <w:szCs w:val="19"/>
              </w:rPr>
            </w:pPr>
            <w:r w:rsidRPr="002A74E5">
              <w:rPr>
                <w:sz w:val="19"/>
                <w:szCs w:val="19"/>
              </w:rPr>
              <w:t>1 januari</w:t>
            </w:r>
            <w:r w:rsidRPr="002A74E5">
              <w:rPr>
                <w:b/>
                <w:bCs/>
                <w:sz w:val="19"/>
                <w:szCs w:val="19"/>
              </w:rPr>
              <w:t xml:space="preserve"> 2025</w:t>
            </w:r>
          </w:p>
        </w:tc>
      </w:tr>
      <w:tr w:rsidR="002A74E5" w:rsidRPr="00A80AB4" w14:paraId="4C82A226" w14:textId="77777777" w:rsidTr="00081B06">
        <w:tc>
          <w:tcPr>
            <w:tcW w:w="5949" w:type="dxa"/>
          </w:tcPr>
          <w:p w14:paraId="5F2BDA4F" w14:textId="77777777" w:rsidR="002A74E5" w:rsidRPr="00A80AB4" w:rsidRDefault="002A74E5" w:rsidP="00FD54F9">
            <w:pPr>
              <w:rPr>
                <w:rFonts w:cs="Arial"/>
                <w:sz w:val="19"/>
                <w:szCs w:val="19"/>
              </w:rPr>
            </w:pPr>
            <w:r>
              <w:rPr>
                <w:rFonts w:cs="Arial"/>
                <w:sz w:val="19"/>
                <w:szCs w:val="19"/>
              </w:rPr>
              <w:t xml:space="preserve">- </w:t>
            </w:r>
            <w:r w:rsidRPr="00A80AB4">
              <w:rPr>
                <w:rFonts w:cs="Arial"/>
                <w:sz w:val="19"/>
                <w:szCs w:val="19"/>
              </w:rPr>
              <w:t>eenpersoonshuishouden</w:t>
            </w:r>
          </w:p>
        </w:tc>
        <w:tc>
          <w:tcPr>
            <w:tcW w:w="2410" w:type="dxa"/>
          </w:tcPr>
          <w:p w14:paraId="5D882F12" w14:textId="642DDAFF" w:rsidR="002A74E5" w:rsidRPr="00A80AB4" w:rsidRDefault="002A74E5" w:rsidP="00FD54F9">
            <w:pPr>
              <w:jc w:val="right"/>
              <w:rPr>
                <w:rFonts w:cs="Arial"/>
                <w:sz w:val="19"/>
                <w:szCs w:val="19"/>
              </w:rPr>
            </w:pPr>
            <w:r w:rsidRPr="00A80AB4">
              <w:rPr>
                <w:rFonts w:cs="Arial"/>
                <w:sz w:val="19"/>
                <w:szCs w:val="19"/>
              </w:rPr>
              <w:t xml:space="preserve">€ </w:t>
            </w:r>
            <w:r w:rsidR="005D2ED3">
              <w:rPr>
                <w:rFonts w:cs="Arial"/>
                <w:sz w:val="19"/>
                <w:szCs w:val="19"/>
              </w:rPr>
              <w:t>199,05</w:t>
            </w:r>
            <w:r w:rsidRPr="00A80AB4">
              <w:rPr>
                <w:rStyle w:val="Voetnootmarkering"/>
                <w:rFonts w:eastAsiaTheme="majorEastAsia" w:cs="Arial"/>
                <w:sz w:val="19"/>
                <w:szCs w:val="19"/>
                <w:vertAlign w:val="superscript"/>
              </w:rPr>
              <w:footnoteReference w:id="6"/>
            </w:r>
          </w:p>
        </w:tc>
      </w:tr>
      <w:tr w:rsidR="002A74E5" w:rsidRPr="00A80AB4" w14:paraId="4EF7948B" w14:textId="77777777" w:rsidTr="00081B06">
        <w:tc>
          <w:tcPr>
            <w:tcW w:w="5949" w:type="dxa"/>
          </w:tcPr>
          <w:p w14:paraId="4A937920" w14:textId="77777777" w:rsidR="002A74E5" w:rsidRPr="00A80AB4" w:rsidRDefault="002A74E5" w:rsidP="00FD54F9">
            <w:pPr>
              <w:rPr>
                <w:rFonts w:cs="Arial"/>
                <w:sz w:val="19"/>
                <w:szCs w:val="19"/>
              </w:rPr>
            </w:pPr>
            <w:r>
              <w:rPr>
                <w:rFonts w:cs="Arial"/>
                <w:sz w:val="19"/>
                <w:szCs w:val="19"/>
              </w:rPr>
              <w:t xml:space="preserve">- </w:t>
            </w:r>
            <w:r w:rsidRPr="00A80AB4">
              <w:rPr>
                <w:rFonts w:cs="Arial"/>
                <w:sz w:val="19"/>
                <w:szCs w:val="19"/>
              </w:rPr>
              <w:t>meerpersoonshuishouden</w:t>
            </w:r>
          </w:p>
        </w:tc>
        <w:tc>
          <w:tcPr>
            <w:tcW w:w="2410" w:type="dxa"/>
          </w:tcPr>
          <w:p w14:paraId="4438B7FF" w14:textId="1B339E9E" w:rsidR="002A74E5" w:rsidRPr="00A80AB4" w:rsidRDefault="002A74E5" w:rsidP="00FD54F9">
            <w:pPr>
              <w:jc w:val="right"/>
              <w:rPr>
                <w:rFonts w:cs="Arial"/>
                <w:sz w:val="19"/>
                <w:szCs w:val="19"/>
              </w:rPr>
            </w:pPr>
            <w:r w:rsidRPr="00A80AB4">
              <w:rPr>
                <w:rFonts w:cs="Arial"/>
                <w:sz w:val="19"/>
                <w:szCs w:val="19"/>
              </w:rPr>
              <w:t xml:space="preserve">€ </w:t>
            </w:r>
            <w:r w:rsidR="005D2ED3">
              <w:rPr>
                <w:rFonts w:cs="Arial"/>
                <w:sz w:val="19"/>
                <w:szCs w:val="19"/>
              </w:rPr>
              <w:t>197,24</w:t>
            </w:r>
            <w:r w:rsidRPr="00A80AB4">
              <w:rPr>
                <w:rStyle w:val="Voetnootmarkering"/>
                <w:rFonts w:eastAsiaTheme="majorEastAsia" w:cs="Arial"/>
                <w:sz w:val="19"/>
                <w:szCs w:val="19"/>
                <w:vertAlign w:val="superscript"/>
              </w:rPr>
              <w:footnoteReference w:id="7"/>
            </w:r>
          </w:p>
        </w:tc>
      </w:tr>
      <w:tr w:rsidR="002A74E5" w:rsidRPr="00A80AB4" w14:paraId="6FD10EF2" w14:textId="77777777" w:rsidTr="00081B06">
        <w:tc>
          <w:tcPr>
            <w:tcW w:w="5949" w:type="dxa"/>
          </w:tcPr>
          <w:p w14:paraId="0B0A6959" w14:textId="77777777" w:rsidR="002A74E5" w:rsidRPr="00A80AB4" w:rsidRDefault="002A74E5" w:rsidP="00FD54F9">
            <w:pPr>
              <w:rPr>
                <w:rFonts w:cs="Arial"/>
                <w:sz w:val="19"/>
                <w:szCs w:val="19"/>
              </w:rPr>
            </w:pPr>
            <w:r w:rsidRPr="00A80AB4">
              <w:rPr>
                <w:rFonts w:cs="Arial"/>
                <w:sz w:val="19"/>
                <w:szCs w:val="19"/>
              </w:rPr>
              <w:t>Maximaal subsidiabele huur per maand</w:t>
            </w:r>
          </w:p>
        </w:tc>
        <w:tc>
          <w:tcPr>
            <w:tcW w:w="2410" w:type="dxa"/>
          </w:tcPr>
          <w:p w14:paraId="029A2D86" w14:textId="6D50122C" w:rsidR="002A74E5" w:rsidRPr="00A80AB4" w:rsidRDefault="002A74E5" w:rsidP="00FD54F9">
            <w:pPr>
              <w:jc w:val="right"/>
              <w:rPr>
                <w:rFonts w:cs="Arial"/>
                <w:sz w:val="19"/>
                <w:szCs w:val="19"/>
              </w:rPr>
            </w:pPr>
            <w:r w:rsidRPr="00A80AB4">
              <w:rPr>
                <w:rFonts w:cs="Arial"/>
                <w:sz w:val="19"/>
                <w:szCs w:val="19"/>
              </w:rPr>
              <w:t xml:space="preserve">€ </w:t>
            </w:r>
            <w:r w:rsidR="005D2ED3">
              <w:rPr>
                <w:rFonts w:cs="Arial"/>
                <w:sz w:val="19"/>
                <w:szCs w:val="19"/>
              </w:rPr>
              <w:t>900,07</w:t>
            </w:r>
            <w:r w:rsidRPr="00A80AB4">
              <w:rPr>
                <w:rStyle w:val="Voetnootmarkering"/>
                <w:rFonts w:eastAsiaTheme="majorEastAsia" w:cs="Arial"/>
                <w:sz w:val="19"/>
                <w:szCs w:val="19"/>
                <w:vertAlign w:val="superscript"/>
              </w:rPr>
              <w:footnoteReference w:id="8"/>
            </w:r>
          </w:p>
        </w:tc>
      </w:tr>
    </w:tbl>
    <w:p w14:paraId="7CFBC06A" w14:textId="77777777" w:rsidR="00605A8D" w:rsidRPr="00E776C4" w:rsidRDefault="00605A8D" w:rsidP="003030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bCs/>
          <w:sz w:val="19"/>
          <w:szCs w:val="19"/>
          <w:highlight w:val="yellow"/>
        </w:rPr>
      </w:pPr>
    </w:p>
    <w:p w14:paraId="7B6894F9" w14:textId="4C9DE7C9" w:rsidR="00E776C4" w:rsidRPr="00895E6C" w:rsidRDefault="00174B33" w:rsidP="00895E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bCs/>
          <w:sz w:val="19"/>
          <w:szCs w:val="19"/>
        </w:rPr>
      </w:pPr>
      <w:r w:rsidRPr="00895E6C">
        <w:rPr>
          <w:rFonts w:cs="Arial"/>
          <w:bCs/>
          <w:sz w:val="19"/>
          <w:szCs w:val="19"/>
        </w:rPr>
        <w:t>NB.</w:t>
      </w:r>
      <w:r w:rsidR="006F7CC2" w:rsidRPr="00895E6C">
        <w:rPr>
          <w:rFonts w:cs="Arial"/>
          <w:bCs/>
          <w:sz w:val="19"/>
          <w:szCs w:val="19"/>
        </w:rPr>
        <w:t xml:space="preserve"> </w:t>
      </w:r>
      <w:r w:rsidR="00B2694C" w:rsidRPr="00895E6C">
        <w:rPr>
          <w:rFonts w:cs="Arial"/>
          <w:bCs/>
          <w:sz w:val="19"/>
          <w:szCs w:val="19"/>
        </w:rPr>
        <w:t>Door een wijziging van artikel 15, lid 1, onderdeel b, URIW 1990 wordt bij het berekenen van de netto woonlasten rekening gehouden met de basishuur en een eventuele correctie daarop in plaats van enkel de normhuur, bedoeld in artikel 17, lid 2, W</w:t>
      </w:r>
      <w:r w:rsidR="00EC52F2">
        <w:rPr>
          <w:rFonts w:cs="Arial"/>
          <w:bCs/>
          <w:sz w:val="19"/>
          <w:szCs w:val="19"/>
        </w:rPr>
        <w:t>HT</w:t>
      </w:r>
      <w:r w:rsidR="00B2694C" w:rsidRPr="00895E6C">
        <w:rPr>
          <w:rFonts w:cs="Arial"/>
          <w:bCs/>
          <w:sz w:val="19"/>
          <w:szCs w:val="19"/>
        </w:rPr>
        <w:t xml:space="preserve">. </w:t>
      </w:r>
      <w:r w:rsidR="00895E6C" w:rsidRPr="00895E6C">
        <w:rPr>
          <w:rFonts w:cs="Arial"/>
          <w:bCs/>
          <w:sz w:val="19"/>
          <w:szCs w:val="19"/>
        </w:rPr>
        <w:t xml:space="preserve">Hierdoor werkt een eventuele verhoging of verlaging van de huurtoeslag door aanpassing van de basishuur in de </w:t>
      </w:r>
      <w:r w:rsidR="00EC52F2">
        <w:rPr>
          <w:rFonts w:cs="Arial"/>
          <w:bCs/>
          <w:sz w:val="19"/>
          <w:szCs w:val="19"/>
        </w:rPr>
        <w:t>WHT</w:t>
      </w:r>
      <w:r w:rsidR="00895E6C" w:rsidRPr="00895E6C">
        <w:rPr>
          <w:rFonts w:cs="Arial"/>
          <w:bCs/>
          <w:sz w:val="19"/>
          <w:szCs w:val="19"/>
        </w:rPr>
        <w:t xml:space="preserve"> of de Wet verlaging eigen bijdrage huurtoeslag ook direct door naar de berekening van de netto woonlasten en daarmee de betalingscapaciteit die bij een kwijtscheldingsverzoek wordt vastgesteld. De </w:t>
      </w:r>
      <w:r w:rsidR="00B2694C" w:rsidRPr="00895E6C">
        <w:rPr>
          <w:rFonts w:cs="Arial"/>
          <w:bCs/>
          <w:sz w:val="19"/>
          <w:szCs w:val="19"/>
        </w:rPr>
        <w:t xml:space="preserve">correctie op de basishuur </w:t>
      </w:r>
      <w:r w:rsidR="00895E6C" w:rsidRPr="00895E6C">
        <w:rPr>
          <w:rFonts w:cs="Arial"/>
          <w:bCs/>
          <w:sz w:val="19"/>
          <w:szCs w:val="19"/>
        </w:rPr>
        <w:t xml:space="preserve">volgt </w:t>
      </w:r>
      <w:r w:rsidR="00B2694C" w:rsidRPr="00895E6C">
        <w:rPr>
          <w:rFonts w:cs="Arial"/>
          <w:bCs/>
          <w:sz w:val="19"/>
          <w:szCs w:val="19"/>
        </w:rPr>
        <w:t>uit de Wet verlaging eigen bijdrage huurtoeslag</w:t>
      </w:r>
      <w:r w:rsidR="00895E6C" w:rsidRPr="00895E6C">
        <w:rPr>
          <w:rFonts w:cs="Arial"/>
          <w:bCs/>
          <w:sz w:val="19"/>
          <w:szCs w:val="19"/>
        </w:rPr>
        <w:t xml:space="preserve"> en </w:t>
      </w:r>
      <w:r w:rsidR="00895E6C">
        <w:rPr>
          <w:rFonts w:cs="Arial"/>
          <w:bCs/>
          <w:sz w:val="19"/>
          <w:szCs w:val="19"/>
        </w:rPr>
        <w:t>bedraagt</w:t>
      </w:r>
      <w:r w:rsidR="00895E6C" w:rsidRPr="00895E6C">
        <w:rPr>
          <w:rFonts w:cs="Arial"/>
          <w:bCs/>
          <w:sz w:val="19"/>
          <w:szCs w:val="19"/>
        </w:rPr>
        <w:t xml:space="preserve"> voor 2025 </w:t>
      </w:r>
      <w:r w:rsidR="00E776C4" w:rsidRPr="00895E6C">
        <w:rPr>
          <w:rFonts w:cs="Arial"/>
          <w:bCs/>
          <w:sz w:val="19"/>
          <w:szCs w:val="19"/>
        </w:rPr>
        <w:t>€ 37,14</w:t>
      </w:r>
      <w:r w:rsidR="00EC52F2">
        <w:rPr>
          <w:rFonts w:cs="Arial"/>
          <w:bCs/>
          <w:sz w:val="19"/>
          <w:szCs w:val="19"/>
        </w:rPr>
        <w:t>.</w:t>
      </w:r>
    </w:p>
    <w:p w14:paraId="6137C982" w14:textId="77777777" w:rsidR="006F7CC2" w:rsidRPr="000F3330" w:rsidRDefault="006F7CC2" w:rsidP="003030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b/>
          <w:sz w:val="19"/>
          <w:szCs w:val="19"/>
        </w:rPr>
      </w:pPr>
    </w:p>
    <w:p w14:paraId="197817DA" w14:textId="77777777" w:rsidR="00303075" w:rsidRPr="000F3330" w:rsidRDefault="00303075" w:rsidP="003030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i/>
          <w:sz w:val="19"/>
          <w:szCs w:val="19"/>
        </w:rPr>
      </w:pPr>
      <w:r w:rsidRPr="000F3330">
        <w:rPr>
          <w:rFonts w:cs="Arial"/>
          <w:i/>
          <w:sz w:val="19"/>
          <w:szCs w:val="19"/>
        </w:rPr>
        <w:t>Normpremie ziektekostenverzekering</w:t>
      </w:r>
    </w:p>
    <w:p w14:paraId="5390E004" w14:textId="2FA3C0AC" w:rsidR="00F35027" w:rsidRPr="001426EE" w:rsidRDefault="00303075" w:rsidP="003030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 w:val="19"/>
          <w:szCs w:val="19"/>
          <w:vertAlign w:val="superscript"/>
        </w:rPr>
      </w:pPr>
      <w:r w:rsidRPr="000F3330">
        <w:rPr>
          <w:rFonts w:cs="Arial"/>
          <w:sz w:val="19"/>
          <w:szCs w:val="19"/>
        </w:rPr>
        <w:t xml:space="preserve">De normpremie, bedoeld in artikel 2 van de Wet op de zorgtoeslag, voor zover begrepen in de bijstandsnorm, </w:t>
      </w:r>
      <w:r w:rsidR="009B6D7B">
        <w:rPr>
          <w:rFonts w:cs="Arial"/>
          <w:sz w:val="19"/>
          <w:szCs w:val="19"/>
        </w:rPr>
        <w:t xml:space="preserve">is ongewijzigd en </w:t>
      </w:r>
      <w:r w:rsidRPr="000F3330">
        <w:rPr>
          <w:rFonts w:cs="Arial"/>
          <w:sz w:val="19"/>
          <w:szCs w:val="19"/>
        </w:rPr>
        <w:t xml:space="preserve">bedraagt </w:t>
      </w:r>
      <w:r w:rsidR="00E51F2D" w:rsidRPr="000F3330">
        <w:rPr>
          <w:rFonts w:cs="Arial"/>
          <w:sz w:val="19"/>
          <w:szCs w:val="19"/>
        </w:rPr>
        <w:t xml:space="preserve">per 1 </w:t>
      </w:r>
      <w:r w:rsidR="000241CB">
        <w:rPr>
          <w:rFonts w:cs="Arial"/>
          <w:sz w:val="19"/>
          <w:szCs w:val="19"/>
        </w:rPr>
        <w:t>j</w:t>
      </w:r>
      <w:r w:rsidR="004A5D6A">
        <w:rPr>
          <w:rFonts w:cs="Arial"/>
          <w:sz w:val="19"/>
          <w:szCs w:val="19"/>
        </w:rPr>
        <w:t>uli</w:t>
      </w:r>
      <w:r w:rsidR="006A1FBB">
        <w:rPr>
          <w:rFonts w:cs="Arial"/>
          <w:sz w:val="19"/>
          <w:szCs w:val="19"/>
        </w:rPr>
        <w:t xml:space="preserve"> </w:t>
      </w:r>
      <w:r w:rsidR="00144AE8">
        <w:rPr>
          <w:rFonts w:cs="Arial"/>
          <w:sz w:val="19"/>
          <w:szCs w:val="19"/>
        </w:rPr>
        <w:t>202</w:t>
      </w:r>
      <w:r w:rsidR="000C0CCD">
        <w:rPr>
          <w:rFonts w:cs="Arial"/>
          <w:sz w:val="19"/>
          <w:szCs w:val="19"/>
        </w:rPr>
        <w:t>4</w:t>
      </w:r>
      <w:r w:rsidR="001426EE" w:rsidRPr="001426EE">
        <w:rPr>
          <w:rStyle w:val="Voetnootmarkering"/>
          <w:rFonts w:cs="Arial"/>
          <w:sz w:val="19"/>
          <w:szCs w:val="19"/>
          <w:vertAlign w:val="superscript"/>
        </w:rPr>
        <w:footnoteReference w:id="9"/>
      </w:r>
      <w:r w:rsidR="006A1FBB" w:rsidRPr="001426EE">
        <w:rPr>
          <w:rFonts w:cs="Arial"/>
          <w:sz w:val="19"/>
          <w:szCs w:val="19"/>
          <w:vertAlign w:val="superscript"/>
        </w:rPr>
        <w:t xml:space="preserve"> </w:t>
      </w:r>
    </w:p>
    <w:tbl>
      <w:tblPr>
        <w:tblW w:w="8359" w:type="dxa"/>
        <w:tblCellMar>
          <w:left w:w="70" w:type="dxa"/>
          <w:right w:w="70" w:type="dxa"/>
        </w:tblCellMar>
        <w:tblLook w:val="0000" w:firstRow="0" w:lastRow="0" w:firstColumn="0" w:lastColumn="0" w:noHBand="0" w:noVBand="0"/>
      </w:tblPr>
      <w:tblGrid>
        <w:gridCol w:w="5665"/>
        <w:gridCol w:w="1276"/>
        <w:gridCol w:w="1418"/>
      </w:tblGrid>
      <w:tr w:rsidR="00494A5B" w:rsidRPr="00F35027" w14:paraId="323FC34C" w14:textId="77777777" w:rsidTr="00EC52F2">
        <w:tc>
          <w:tcPr>
            <w:tcW w:w="5665" w:type="dxa"/>
          </w:tcPr>
          <w:p w14:paraId="690495FF" w14:textId="77777777" w:rsidR="00494A5B" w:rsidRPr="00F35027" w:rsidRDefault="00494A5B" w:rsidP="00494A5B">
            <w:pPr>
              <w:rPr>
                <w:rFonts w:cs="Arial"/>
                <w:sz w:val="19"/>
                <w:szCs w:val="19"/>
              </w:rPr>
            </w:pPr>
          </w:p>
        </w:tc>
        <w:tc>
          <w:tcPr>
            <w:tcW w:w="1276" w:type="dxa"/>
          </w:tcPr>
          <w:p w14:paraId="57BB261A" w14:textId="3E855062" w:rsidR="00494A5B" w:rsidRPr="00F35027" w:rsidRDefault="00494A5B" w:rsidP="00494A5B">
            <w:pPr>
              <w:jc w:val="right"/>
              <w:rPr>
                <w:sz w:val="19"/>
                <w:szCs w:val="19"/>
              </w:rPr>
            </w:pPr>
            <w:r w:rsidRPr="00F35027">
              <w:rPr>
                <w:sz w:val="19"/>
                <w:szCs w:val="19"/>
              </w:rPr>
              <w:t xml:space="preserve">1 </w:t>
            </w:r>
            <w:r>
              <w:rPr>
                <w:sz w:val="19"/>
                <w:szCs w:val="19"/>
              </w:rPr>
              <w:t>juli</w:t>
            </w:r>
            <w:r w:rsidRPr="00F35027">
              <w:rPr>
                <w:sz w:val="19"/>
                <w:szCs w:val="19"/>
              </w:rPr>
              <w:t xml:space="preserve"> 202</w:t>
            </w:r>
            <w:r>
              <w:rPr>
                <w:sz w:val="19"/>
                <w:szCs w:val="19"/>
              </w:rPr>
              <w:t>4</w:t>
            </w:r>
          </w:p>
        </w:tc>
        <w:tc>
          <w:tcPr>
            <w:tcW w:w="1418" w:type="dxa"/>
          </w:tcPr>
          <w:p w14:paraId="6FFB4913" w14:textId="5DFDEE8C" w:rsidR="00494A5B" w:rsidRPr="00F35027" w:rsidRDefault="00494A5B" w:rsidP="00494A5B">
            <w:pPr>
              <w:jc w:val="right"/>
              <w:rPr>
                <w:rFonts w:cs="Arial"/>
                <w:sz w:val="19"/>
                <w:szCs w:val="19"/>
              </w:rPr>
            </w:pPr>
            <w:r w:rsidRPr="00F35027">
              <w:rPr>
                <w:sz w:val="19"/>
                <w:szCs w:val="19"/>
              </w:rPr>
              <w:t xml:space="preserve">1 </w:t>
            </w:r>
            <w:r>
              <w:rPr>
                <w:sz w:val="19"/>
                <w:szCs w:val="19"/>
              </w:rPr>
              <w:t>januari 2025</w:t>
            </w:r>
          </w:p>
        </w:tc>
      </w:tr>
      <w:tr w:rsidR="00494A5B" w:rsidRPr="00F35027" w14:paraId="1919452F" w14:textId="77777777" w:rsidTr="00EC52F2">
        <w:tc>
          <w:tcPr>
            <w:tcW w:w="5665" w:type="dxa"/>
          </w:tcPr>
          <w:p w14:paraId="533412B9" w14:textId="764C1E55" w:rsidR="00494A5B" w:rsidRPr="00F35027" w:rsidRDefault="00494A5B" w:rsidP="00494A5B">
            <w:pPr>
              <w:rPr>
                <w:rFonts w:cs="Arial"/>
                <w:sz w:val="19"/>
                <w:szCs w:val="19"/>
              </w:rPr>
            </w:pPr>
            <w:r>
              <w:rPr>
                <w:rFonts w:cs="Arial"/>
                <w:sz w:val="19"/>
                <w:szCs w:val="19"/>
              </w:rPr>
              <w:t xml:space="preserve">- </w:t>
            </w:r>
            <w:r w:rsidRPr="000F3330">
              <w:rPr>
                <w:rFonts w:cs="Arial"/>
                <w:sz w:val="19"/>
                <w:szCs w:val="19"/>
              </w:rPr>
              <w:t>voor een alleenstaande of een alleenstaande ouder</w:t>
            </w:r>
            <w:r>
              <w:rPr>
                <w:rFonts w:cs="Arial"/>
                <w:sz w:val="19"/>
                <w:szCs w:val="19"/>
              </w:rPr>
              <w:t xml:space="preserve"> per maand</w:t>
            </w:r>
          </w:p>
        </w:tc>
        <w:tc>
          <w:tcPr>
            <w:tcW w:w="1276" w:type="dxa"/>
          </w:tcPr>
          <w:p w14:paraId="56269CEE" w14:textId="1B6997DF" w:rsidR="00494A5B" w:rsidRPr="000F3330" w:rsidRDefault="00494A5B" w:rsidP="00494A5B">
            <w:pPr>
              <w:jc w:val="right"/>
              <w:rPr>
                <w:rFonts w:cs="Arial"/>
                <w:sz w:val="19"/>
                <w:szCs w:val="19"/>
              </w:rPr>
            </w:pPr>
            <w:r w:rsidRPr="000F3330">
              <w:rPr>
                <w:rFonts w:cs="Arial"/>
                <w:sz w:val="19"/>
                <w:szCs w:val="19"/>
              </w:rPr>
              <w:t>€</w:t>
            </w:r>
            <w:r>
              <w:rPr>
                <w:rFonts w:cs="Arial"/>
                <w:sz w:val="19"/>
                <w:szCs w:val="19"/>
              </w:rPr>
              <w:t xml:space="preserve"> 42,00</w:t>
            </w:r>
          </w:p>
        </w:tc>
        <w:tc>
          <w:tcPr>
            <w:tcW w:w="1418" w:type="dxa"/>
          </w:tcPr>
          <w:p w14:paraId="0FBF346D" w14:textId="71B56046" w:rsidR="00494A5B" w:rsidRPr="00F35027" w:rsidRDefault="00494A5B" w:rsidP="00494A5B">
            <w:pPr>
              <w:jc w:val="right"/>
              <w:rPr>
                <w:rFonts w:cs="Arial"/>
                <w:sz w:val="19"/>
                <w:szCs w:val="19"/>
              </w:rPr>
            </w:pPr>
            <w:r w:rsidRPr="000F3330">
              <w:rPr>
                <w:rFonts w:cs="Arial"/>
                <w:sz w:val="19"/>
                <w:szCs w:val="19"/>
              </w:rPr>
              <w:t xml:space="preserve">€ </w:t>
            </w:r>
            <w:r>
              <w:rPr>
                <w:rFonts w:cs="Arial"/>
                <w:sz w:val="19"/>
                <w:szCs w:val="19"/>
              </w:rPr>
              <w:t>45,00</w:t>
            </w:r>
          </w:p>
        </w:tc>
      </w:tr>
      <w:tr w:rsidR="00494A5B" w:rsidRPr="00F35027" w14:paraId="259FAE7B" w14:textId="77777777" w:rsidTr="00EC52F2">
        <w:tc>
          <w:tcPr>
            <w:tcW w:w="5665" w:type="dxa"/>
          </w:tcPr>
          <w:p w14:paraId="797FEC18" w14:textId="081774B5" w:rsidR="00494A5B" w:rsidRPr="00F35027" w:rsidRDefault="00494A5B" w:rsidP="00494A5B">
            <w:pPr>
              <w:rPr>
                <w:rFonts w:cs="Arial"/>
                <w:sz w:val="19"/>
                <w:szCs w:val="19"/>
              </w:rPr>
            </w:pPr>
            <w:r>
              <w:rPr>
                <w:rFonts w:cs="Arial"/>
                <w:sz w:val="19"/>
                <w:szCs w:val="19"/>
              </w:rPr>
              <w:t xml:space="preserve">- </w:t>
            </w:r>
            <w:r w:rsidRPr="000F3330">
              <w:rPr>
                <w:rFonts w:cs="Arial"/>
                <w:sz w:val="19"/>
                <w:szCs w:val="19"/>
              </w:rPr>
              <w:t>voor echtgenoten</w:t>
            </w:r>
            <w:r>
              <w:rPr>
                <w:rFonts w:cs="Arial"/>
                <w:sz w:val="19"/>
                <w:szCs w:val="19"/>
              </w:rPr>
              <w:t xml:space="preserve"> per maand</w:t>
            </w:r>
          </w:p>
        </w:tc>
        <w:tc>
          <w:tcPr>
            <w:tcW w:w="1276" w:type="dxa"/>
          </w:tcPr>
          <w:p w14:paraId="37F25579" w14:textId="3CF3F870" w:rsidR="00494A5B" w:rsidRPr="000F3330" w:rsidRDefault="00494A5B" w:rsidP="00494A5B">
            <w:pPr>
              <w:jc w:val="right"/>
              <w:rPr>
                <w:rFonts w:cs="Arial"/>
                <w:sz w:val="19"/>
                <w:szCs w:val="19"/>
              </w:rPr>
            </w:pPr>
            <w:r w:rsidRPr="000F3330">
              <w:rPr>
                <w:rFonts w:cs="Arial"/>
                <w:sz w:val="19"/>
                <w:szCs w:val="19"/>
              </w:rPr>
              <w:t xml:space="preserve">€ </w:t>
            </w:r>
            <w:r>
              <w:rPr>
                <w:rFonts w:cs="Arial"/>
                <w:sz w:val="19"/>
                <w:szCs w:val="19"/>
              </w:rPr>
              <w:t>95,00</w:t>
            </w:r>
          </w:p>
        </w:tc>
        <w:tc>
          <w:tcPr>
            <w:tcW w:w="1418" w:type="dxa"/>
          </w:tcPr>
          <w:p w14:paraId="3B91549F" w14:textId="563B6174" w:rsidR="00494A5B" w:rsidRPr="00F35027" w:rsidRDefault="00494A5B" w:rsidP="00494A5B">
            <w:pPr>
              <w:jc w:val="right"/>
              <w:rPr>
                <w:rFonts w:cs="Arial"/>
                <w:sz w:val="19"/>
                <w:szCs w:val="19"/>
              </w:rPr>
            </w:pPr>
            <w:r w:rsidRPr="000F3330">
              <w:rPr>
                <w:rFonts w:cs="Arial"/>
                <w:sz w:val="19"/>
                <w:szCs w:val="19"/>
              </w:rPr>
              <w:t xml:space="preserve">€ </w:t>
            </w:r>
            <w:r>
              <w:rPr>
                <w:rFonts w:cs="Arial"/>
                <w:sz w:val="19"/>
                <w:szCs w:val="19"/>
              </w:rPr>
              <w:t>101,00</w:t>
            </w:r>
          </w:p>
        </w:tc>
      </w:tr>
    </w:tbl>
    <w:p w14:paraId="1F0A62FB" w14:textId="77777777" w:rsidR="00F35027" w:rsidRDefault="00F35027" w:rsidP="003030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 w:val="19"/>
          <w:szCs w:val="19"/>
        </w:rPr>
      </w:pPr>
    </w:p>
    <w:p w14:paraId="6436A137" w14:textId="77777777" w:rsidR="00CB66C5" w:rsidRPr="000F3330" w:rsidRDefault="00074628" w:rsidP="00CB66C5">
      <w:pPr>
        <w:rPr>
          <w:i/>
          <w:sz w:val="19"/>
          <w:szCs w:val="19"/>
        </w:rPr>
      </w:pPr>
      <w:r w:rsidRPr="000F3330">
        <w:rPr>
          <w:i/>
          <w:sz w:val="19"/>
          <w:szCs w:val="19"/>
        </w:rPr>
        <w:t>Kostendelersnorm</w:t>
      </w:r>
    </w:p>
    <w:p w14:paraId="25854D22" w14:textId="7DE31747" w:rsidR="008241BB" w:rsidRPr="000F3330" w:rsidRDefault="007B4932" w:rsidP="00131B9C">
      <w:pPr>
        <w:rPr>
          <w:sz w:val="19"/>
          <w:szCs w:val="19"/>
        </w:rPr>
      </w:pPr>
      <w:r w:rsidRPr="000F3330">
        <w:rPr>
          <w:rFonts w:cs="Arial"/>
          <w:bCs/>
          <w:noProof/>
          <w:sz w:val="19"/>
          <w:szCs w:val="19"/>
        </w:rPr>
        <w:t xml:space="preserve">Op kwijtscheldingsverzoeken </w:t>
      </w:r>
      <w:r w:rsidR="006F0A4B" w:rsidRPr="000F3330">
        <w:rPr>
          <w:rFonts w:cs="Arial"/>
          <w:bCs/>
          <w:noProof/>
          <w:sz w:val="19"/>
          <w:szCs w:val="19"/>
        </w:rPr>
        <w:t>is</w:t>
      </w:r>
      <w:r w:rsidR="00EC7E57" w:rsidRPr="000F3330">
        <w:rPr>
          <w:rFonts w:cs="Arial"/>
          <w:bCs/>
          <w:noProof/>
          <w:sz w:val="19"/>
          <w:szCs w:val="19"/>
        </w:rPr>
        <w:t xml:space="preserve"> de</w:t>
      </w:r>
      <w:r w:rsidR="00CB66C5" w:rsidRPr="000F3330">
        <w:rPr>
          <w:rFonts w:cs="Arial"/>
          <w:bCs/>
          <w:noProof/>
          <w:sz w:val="19"/>
          <w:szCs w:val="19"/>
        </w:rPr>
        <w:t xml:space="preserve"> kostendelersnorm uit de Participatiewet </w:t>
      </w:r>
      <w:r w:rsidR="006F0A4B" w:rsidRPr="000F3330">
        <w:rPr>
          <w:rFonts w:cs="Arial"/>
          <w:bCs/>
          <w:noProof/>
          <w:sz w:val="19"/>
          <w:szCs w:val="19"/>
        </w:rPr>
        <w:t>van toepassing</w:t>
      </w:r>
      <w:r w:rsidR="00B931E7" w:rsidRPr="000F3330">
        <w:rPr>
          <w:sz w:val="19"/>
          <w:szCs w:val="19"/>
        </w:rPr>
        <w:t>. De normbedragen voor de bestaanskosten in de kwijtschelding sluiten daar</w:t>
      </w:r>
      <w:r w:rsidR="006F0A4B" w:rsidRPr="000F3330">
        <w:rPr>
          <w:sz w:val="19"/>
          <w:szCs w:val="19"/>
        </w:rPr>
        <w:t>mee</w:t>
      </w:r>
      <w:r w:rsidR="00B931E7" w:rsidRPr="000F3330">
        <w:rPr>
          <w:sz w:val="19"/>
          <w:szCs w:val="19"/>
        </w:rPr>
        <w:t xml:space="preserve"> aan bij de systematiek uit de Participatiewet.</w:t>
      </w:r>
      <w:r w:rsidR="00131B9C" w:rsidRPr="000F3330" w:rsidDel="00131B9C">
        <w:rPr>
          <w:sz w:val="19"/>
          <w:szCs w:val="19"/>
        </w:rPr>
        <w:t xml:space="preserve"> </w:t>
      </w:r>
    </w:p>
    <w:p w14:paraId="05ECCFEC" w14:textId="77777777" w:rsidR="008241BB" w:rsidRPr="000F3330" w:rsidRDefault="008241BB" w:rsidP="00CB66C5">
      <w:pPr>
        <w:rPr>
          <w:sz w:val="19"/>
          <w:szCs w:val="19"/>
        </w:rPr>
      </w:pPr>
      <w:r w:rsidRPr="000F3330">
        <w:rPr>
          <w:sz w:val="19"/>
          <w:szCs w:val="19"/>
        </w:rPr>
        <w:t>Voor de kwijtschelding is de kostendelersnorm opgenomen in artikel 16, lid 2, onderdelen b en d van de Uitvoeringsregeling Invorderingswet 1990.</w:t>
      </w:r>
    </w:p>
    <w:p w14:paraId="661FAA68" w14:textId="77777777" w:rsidR="005E5857" w:rsidRDefault="005E5857" w:rsidP="00DA3E9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sz w:val="19"/>
          <w:szCs w:val="19"/>
        </w:rPr>
      </w:pPr>
    </w:p>
    <w:sectPr w:rsidR="005E5857" w:rsidSect="00D359C3">
      <w:headerReference w:type="default" r:id="rId11"/>
      <w:footerReference w:type="default" r:id="rId12"/>
      <w:headerReference w:type="first" r:id="rId13"/>
      <w:footerReference w:type="first" r:id="rId14"/>
      <w:pgSz w:w="11906" w:h="16838"/>
      <w:pgMar w:top="2000" w:right="1133"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90A4" w14:textId="77777777" w:rsidR="00E73067" w:rsidRDefault="00E73067" w:rsidP="00197EFD">
      <w:pPr>
        <w:spacing w:line="240" w:lineRule="auto"/>
      </w:pPr>
      <w:r>
        <w:separator/>
      </w:r>
    </w:p>
  </w:endnote>
  <w:endnote w:type="continuationSeparator" w:id="0">
    <w:p w14:paraId="563336DE" w14:textId="77777777" w:rsidR="00E73067" w:rsidRDefault="00E73067" w:rsidP="0019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127679"/>
      <w:docPartObj>
        <w:docPartGallery w:val="Page Numbers (Bottom of Page)"/>
        <w:docPartUnique/>
      </w:docPartObj>
    </w:sdtPr>
    <w:sdtEndPr/>
    <w:sdtContent>
      <w:p w14:paraId="1B346017" w14:textId="77777777" w:rsidR="00105031" w:rsidRDefault="00C004A2">
        <w:pPr>
          <w:pStyle w:val="Voettekst"/>
          <w:jc w:val="right"/>
        </w:pPr>
        <w:r>
          <w:fldChar w:fldCharType="begin"/>
        </w:r>
        <w:r w:rsidR="0004413A">
          <w:instrText xml:space="preserve"> PAGE   \* MERGEFORMAT </w:instrText>
        </w:r>
        <w:r>
          <w:fldChar w:fldCharType="separate"/>
        </w:r>
        <w:r w:rsidR="00F81DBC">
          <w:rPr>
            <w:noProof/>
          </w:rPr>
          <w:t>3</w:t>
        </w:r>
        <w:r>
          <w:rPr>
            <w:noProof/>
          </w:rPr>
          <w:fldChar w:fldCharType="end"/>
        </w:r>
      </w:p>
    </w:sdtContent>
  </w:sdt>
  <w:p w14:paraId="43571C03" w14:textId="77777777" w:rsidR="00105031" w:rsidRDefault="001050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680632"/>
      <w:docPartObj>
        <w:docPartGallery w:val="Page Numbers (Bottom of Page)"/>
        <w:docPartUnique/>
      </w:docPartObj>
    </w:sdtPr>
    <w:sdtEndPr/>
    <w:sdtContent>
      <w:p w14:paraId="64D4A9C2" w14:textId="77777777" w:rsidR="00105031" w:rsidRDefault="00C004A2" w:rsidP="00BA6143">
        <w:pPr>
          <w:pStyle w:val="Voettekst"/>
          <w:jc w:val="right"/>
        </w:pPr>
        <w:r>
          <w:fldChar w:fldCharType="begin"/>
        </w:r>
        <w:r w:rsidR="0004413A">
          <w:instrText xml:space="preserve"> PAGE   \* MERGEFORMAT </w:instrText>
        </w:r>
        <w:r>
          <w:fldChar w:fldCharType="separate"/>
        </w:r>
        <w:r w:rsidR="00F81DBC">
          <w:rPr>
            <w:noProof/>
          </w:rPr>
          <w:t>1</w:t>
        </w:r>
        <w:r>
          <w:rPr>
            <w:noProof/>
          </w:rPr>
          <w:fldChar w:fldCharType="end"/>
        </w:r>
      </w:p>
    </w:sdtContent>
  </w:sdt>
  <w:p w14:paraId="4D816D43" w14:textId="77777777" w:rsidR="00105031" w:rsidRDefault="001050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53582" w14:textId="77777777" w:rsidR="00E73067" w:rsidRDefault="00E73067" w:rsidP="00197EFD">
      <w:pPr>
        <w:spacing w:line="240" w:lineRule="auto"/>
      </w:pPr>
      <w:r>
        <w:separator/>
      </w:r>
    </w:p>
  </w:footnote>
  <w:footnote w:type="continuationSeparator" w:id="0">
    <w:p w14:paraId="29F6457E" w14:textId="77777777" w:rsidR="00E73067" w:rsidRDefault="00E73067" w:rsidP="00197EFD">
      <w:pPr>
        <w:spacing w:line="240" w:lineRule="auto"/>
      </w:pPr>
      <w:r>
        <w:continuationSeparator/>
      </w:r>
    </w:p>
  </w:footnote>
  <w:footnote w:id="1">
    <w:p w14:paraId="0990EBD2" w14:textId="15C0844E" w:rsidR="00F04A5C" w:rsidRPr="0031658E" w:rsidRDefault="00F04A5C">
      <w:pPr>
        <w:pStyle w:val="Voetnoottekst"/>
        <w:rPr>
          <w:rFonts w:ascii="Arial" w:hAnsi="Arial" w:cs="Arial"/>
          <w:color w:val="0070C0"/>
          <w:sz w:val="18"/>
          <w:szCs w:val="18"/>
          <w:lang w:val="nl-NL"/>
        </w:rPr>
      </w:pPr>
      <w:r w:rsidRPr="000F3330">
        <w:rPr>
          <w:rStyle w:val="Voetnootmarkering"/>
          <w:rFonts w:ascii="Arial" w:hAnsi="Arial" w:cs="Arial"/>
          <w:sz w:val="19"/>
          <w:szCs w:val="19"/>
          <w:vertAlign w:val="superscript"/>
        </w:rPr>
        <w:footnoteRef/>
      </w:r>
      <w:r w:rsidRPr="000F3330">
        <w:rPr>
          <w:rFonts w:ascii="Arial" w:hAnsi="Arial" w:cs="Arial"/>
          <w:sz w:val="19"/>
          <w:szCs w:val="19"/>
          <w:vertAlign w:val="superscript"/>
          <w:lang w:val="nl-NL"/>
        </w:rPr>
        <w:t xml:space="preserve"> </w:t>
      </w:r>
      <w:r w:rsidRPr="00543A93">
        <w:rPr>
          <w:rFonts w:ascii="Arial" w:hAnsi="Arial" w:cs="Arial"/>
          <w:sz w:val="18"/>
          <w:szCs w:val="18"/>
          <w:lang w:val="nl-NL"/>
        </w:rPr>
        <w:t xml:space="preserve">Bron: </w:t>
      </w:r>
      <w:r w:rsidR="009E7E29">
        <w:fldChar w:fldCharType="begin"/>
      </w:r>
      <w:r w:rsidR="009E7E29" w:rsidRPr="00196E61">
        <w:rPr>
          <w:lang w:val="nl-NL"/>
        </w:rPr>
        <w:instrText>HYPERLINK "https://open.overheid.nl/documenten/69de25e5-c674-411c-9bf4-59cd2b9b349c/file"</w:instrText>
      </w:r>
      <w:r w:rsidR="009E7E29">
        <w:fldChar w:fldCharType="separate"/>
      </w:r>
      <w:r w:rsidR="009E7E29" w:rsidRPr="00013AF9">
        <w:rPr>
          <w:rStyle w:val="Hyperlink"/>
          <w:rFonts w:ascii="Arial" w:hAnsi="Arial" w:cs="Arial"/>
          <w:color w:val="0070C0"/>
          <w:sz w:val="18"/>
          <w:szCs w:val="18"/>
          <w:lang w:val="nl-NL"/>
        </w:rPr>
        <w:t>Normenbrief 1 j</w:t>
      </w:r>
      <w:r w:rsidR="0001318E">
        <w:rPr>
          <w:rStyle w:val="Hyperlink"/>
          <w:rFonts w:ascii="Arial" w:hAnsi="Arial" w:cs="Arial"/>
          <w:color w:val="0070C0"/>
          <w:sz w:val="18"/>
          <w:szCs w:val="18"/>
          <w:lang w:val="nl-NL"/>
        </w:rPr>
        <w:t>anuari 2025</w:t>
      </w:r>
      <w:r w:rsidR="009E7E29" w:rsidRPr="00013AF9">
        <w:rPr>
          <w:rStyle w:val="Hyperlink"/>
          <w:rFonts w:ascii="Arial" w:hAnsi="Arial" w:cs="Arial"/>
          <w:color w:val="0070C0"/>
          <w:sz w:val="18"/>
          <w:szCs w:val="18"/>
          <w:lang w:val="nl-NL"/>
        </w:rPr>
        <w:t xml:space="preserve"> - informatie voor gemeent</w:t>
      </w:r>
      <w:r w:rsidR="00013AF9" w:rsidRPr="00013AF9">
        <w:rPr>
          <w:rStyle w:val="Hyperlink"/>
          <w:rFonts w:ascii="Arial" w:hAnsi="Arial" w:cs="Arial"/>
          <w:color w:val="0070C0"/>
          <w:sz w:val="18"/>
          <w:szCs w:val="18"/>
          <w:lang w:val="nl-NL"/>
        </w:rPr>
        <w:t>en</w:t>
      </w:r>
      <w:r w:rsidR="009E7E29">
        <w:rPr>
          <w:rStyle w:val="Hyperlink"/>
          <w:rFonts w:ascii="Arial" w:hAnsi="Arial" w:cs="Arial"/>
          <w:color w:val="0070C0"/>
          <w:sz w:val="18"/>
          <w:szCs w:val="18"/>
          <w:lang w:val="nl-NL"/>
        </w:rPr>
        <w:fldChar w:fldCharType="end"/>
      </w:r>
    </w:p>
  </w:footnote>
  <w:footnote w:id="2">
    <w:p w14:paraId="61352FC2" w14:textId="30C6D843" w:rsidR="00F04A5C" w:rsidRPr="006A1FBB" w:rsidRDefault="00F04A5C">
      <w:pPr>
        <w:pStyle w:val="Voetnoottekst"/>
        <w:rPr>
          <w:rFonts w:ascii="Arial" w:hAnsi="Arial" w:cs="Arial"/>
          <w:sz w:val="18"/>
          <w:szCs w:val="18"/>
          <w:lang w:val="nl-NL"/>
        </w:rPr>
      </w:pPr>
      <w:r w:rsidRPr="000F3330">
        <w:rPr>
          <w:rStyle w:val="Voetnootmarkering"/>
          <w:rFonts w:ascii="Arial" w:hAnsi="Arial" w:cs="Arial"/>
          <w:sz w:val="19"/>
          <w:szCs w:val="19"/>
          <w:vertAlign w:val="superscript"/>
        </w:rPr>
        <w:footnoteRef/>
      </w:r>
      <w:r w:rsidRPr="000F3330">
        <w:rPr>
          <w:rFonts w:ascii="Arial" w:hAnsi="Arial" w:cs="Arial"/>
          <w:sz w:val="19"/>
          <w:szCs w:val="19"/>
          <w:vertAlign w:val="superscript"/>
          <w:lang w:val="nl-NL"/>
        </w:rPr>
        <w:t xml:space="preserve"> </w:t>
      </w:r>
      <w:r w:rsidRPr="006A1FBB">
        <w:rPr>
          <w:rFonts w:ascii="Arial" w:hAnsi="Arial" w:cs="Arial"/>
          <w:sz w:val="18"/>
          <w:szCs w:val="18"/>
          <w:lang w:val="nl-NL"/>
        </w:rPr>
        <w:t xml:space="preserve">Overeenkomstig de rijksregeling zijn de bedragen bij 90% en 95% naar boven afgerond op hele euro’s. Deze afronding is ook toegestaan bij 100%. </w:t>
      </w:r>
      <w:r w:rsidR="000C067A" w:rsidRPr="006A1FBB">
        <w:rPr>
          <w:rFonts w:ascii="Arial" w:hAnsi="Arial" w:cs="Arial"/>
          <w:sz w:val="18"/>
          <w:szCs w:val="18"/>
          <w:lang w:val="nl-NL"/>
        </w:rPr>
        <w:t>Voor</w:t>
      </w:r>
      <w:r w:rsidRPr="006A1FBB">
        <w:rPr>
          <w:rFonts w:ascii="Arial" w:hAnsi="Arial" w:cs="Arial"/>
          <w:sz w:val="18"/>
          <w:szCs w:val="18"/>
          <w:lang w:val="nl-NL"/>
        </w:rPr>
        <w:t xml:space="preserve"> gemeenten die een ander percentage hanteren, hebben wij hier het bedrag van de basisnorm vermeld.</w:t>
      </w:r>
    </w:p>
  </w:footnote>
  <w:footnote w:id="3">
    <w:p w14:paraId="51AB82F6" w14:textId="5F81CB6B" w:rsidR="00AD67DF" w:rsidRPr="00C3670E" w:rsidRDefault="00AD67DF">
      <w:pPr>
        <w:pStyle w:val="Voetnoottekst"/>
        <w:rPr>
          <w:rFonts w:ascii="Arial" w:hAnsi="Arial" w:cs="Arial"/>
          <w:lang w:val="nl-NL"/>
        </w:rPr>
      </w:pPr>
      <w:r w:rsidRPr="00555948">
        <w:rPr>
          <w:rStyle w:val="Voetnootmarkering"/>
          <w:rFonts w:ascii="Arial" w:hAnsi="Arial" w:cs="Arial"/>
          <w:sz w:val="19"/>
          <w:szCs w:val="19"/>
          <w:vertAlign w:val="superscript"/>
        </w:rPr>
        <w:footnoteRef/>
      </w:r>
      <w:r w:rsidRPr="00555948">
        <w:rPr>
          <w:rFonts w:ascii="Arial" w:hAnsi="Arial" w:cs="Arial"/>
          <w:sz w:val="19"/>
          <w:szCs w:val="19"/>
          <w:vertAlign w:val="superscript"/>
          <w:lang w:val="nl-NL"/>
        </w:rPr>
        <w:t xml:space="preserve"> </w:t>
      </w:r>
      <w:r w:rsidR="005C4E45">
        <w:fldChar w:fldCharType="begin"/>
      </w:r>
      <w:r w:rsidR="005C4E45" w:rsidRPr="00196E61">
        <w:rPr>
          <w:lang w:val="nl-NL"/>
        </w:rPr>
        <w:instrText>HYPERLINK "https://zoek.officielebekendmakingen.nl/noindex/stcrt-2024-41523.pdf"</w:instrText>
      </w:r>
      <w:r w:rsidR="005C4E45">
        <w:fldChar w:fldCharType="separate"/>
      </w:r>
      <w:proofErr w:type="spellStart"/>
      <w:r w:rsidR="005C4E45" w:rsidRPr="00EC52F2">
        <w:rPr>
          <w:rStyle w:val="Hyperlink"/>
          <w:rFonts w:ascii="Arial" w:hAnsi="Arial" w:cs="Arial"/>
          <w:color w:val="0070C0"/>
          <w:sz w:val="18"/>
          <w:szCs w:val="18"/>
          <w:lang w:val="nl-NL"/>
        </w:rPr>
        <w:t>Stcrt</w:t>
      </w:r>
      <w:proofErr w:type="spellEnd"/>
      <w:r w:rsidR="005C4E45" w:rsidRPr="00EC52F2">
        <w:rPr>
          <w:rStyle w:val="Hyperlink"/>
          <w:rFonts w:ascii="Arial" w:hAnsi="Arial" w:cs="Arial"/>
          <w:color w:val="0070C0"/>
          <w:sz w:val="18"/>
          <w:szCs w:val="18"/>
          <w:lang w:val="nl-NL"/>
        </w:rPr>
        <w:t>. 2024, 41523</w:t>
      </w:r>
      <w:r w:rsidR="005C4E45">
        <w:rPr>
          <w:rStyle w:val="Hyperlink"/>
          <w:rFonts w:ascii="Arial" w:hAnsi="Arial" w:cs="Arial"/>
          <w:color w:val="0070C0"/>
          <w:sz w:val="18"/>
          <w:szCs w:val="18"/>
          <w:lang w:val="nl-NL"/>
        </w:rPr>
        <w:fldChar w:fldCharType="end"/>
      </w:r>
      <w:r w:rsidR="005C4E45">
        <w:rPr>
          <w:rFonts w:ascii="Arial" w:hAnsi="Arial" w:cs="Arial"/>
          <w:sz w:val="18"/>
          <w:szCs w:val="18"/>
          <w:lang w:val="nl-NL"/>
        </w:rPr>
        <w:t>, artikel XXI, onderdeel E</w:t>
      </w:r>
      <w:r w:rsidR="00BA36DE" w:rsidRPr="00543A93">
        <w:rPr>
          <w:rFonts w:ascii="Arial" w:hAnsi="Arial" w:cs="Arial"/>
          <w:sz w:val="18"/>
          <w:szCs w:val="18"/>
          <w:lang w:val="nl-NL"/>
        </w:rPr>
        <w:t>.</w:t>
      </w:r>
      <w:r w:rsidR="00156F5B">
        <w:rPr>
          <w:rFonts w:ascii="Arial" w:hAnsi="Arial" w:cs="Arial"/>
          <w:sz w:val="19"/>
          <w:szCs w:val="19"/>
          <w:lang w:val="nl-NL"/>
        </w:rPr>
        <w:t xml:space="preserve"> </w:t>
      </w:r>
    </w:p>
  </w:footnote>
  <w:footnote w:id="4">
    <w:p w14:paraId="239618A1" w14:textId="5DE1BDBF" w:rsidR="00F92F6F" w:rsidRPr="009B6D7B" w:rsidRDefault="00F92F6F">
      <w:pPr>
        <w:pStyle w:val="Voetnoottekst"/>
        <w:rPr>
          <w:rFonts w:ascii="Arial" w:hAnsi="Arial" w:cs="Arial"/>
          <w:color w:val="0070C0"/>
          <w:sz w:val="19"/>
          <w:szCs w:val="19"/>
          <w:lang w:val="nl-NL"/>
        </w:rPr>
      </w:pPr>
      <w:r w:rsidRPr="00853EB5">
        <w:rPr>
          <w:rStyle w:val="Voetnootmarkering"/>
          <w:rFonts w:ascii="Arial" w:hAnsi="Arial" w:cs="Arial"/>
          <w:sz w:val="19"/>
          <w:szCs w:val="19"/>
          <w:vertAlign w:val="superscript"/>
        </w:rPr>
        <w:footnoteRef/>
      </w:r>
      <w:r w:rsidRPr="00853EB5">
        <w:rPr>
          <w:rFonts w:ascii="Arial" w:hAnsi="Arial" w:cs="Arial"/>
          <w:sz w:val="19"/>
          <w:szCs w:val="19"/>
          <w:vertAlign w:val="superscript"/>
          <w:lang w:val="nl-NL"/>
        </w:rPr>
        <w:t xml:space="preserve"> </w:t>
      </w:r>
      <w:r w:rsidR="000F2977" w:rsidRPr="001A3733">
        <w:rPr>
          <w:rFonts w:ascii="Arial" w:hAnsi="Arial" w:cs="Arial"/>
          <w:sz w:val="18"/>
          <w:szCs w:val="18"/>
          <w:lang w:val="nl-NL"/>
        </w:rPr>
        <w:t xml:space="preserve">Bron: </w:t>
      </w:r>
      <w:r w:rsidR="00020F8A">
        <w:fldChar w:fldCharType="begin"/>
      </w:r>
      <w:r w:rsidR="00020F8A" w:rsidRPr="00196E61">
        <w:rPr>
          <w:lang w:val="nl-NL"/>
        </w:rPr>
        <w:instrText>HYPERLINK "https://open.overheid.nl/documenten/d2e5f11b-b0f0-4986-a11b-7f4af63f67d6/file"</w:instrText>
      </w:r>
      <w:r w:rsidR="00020F8A">
        <w:fldChar w:fldCharType="separate"/>
      </w:r>
      <w:r w:rsidR="00020F8A" w:rsidRPr="009B6D7B">
        <w:rPr>
          <w:rStyle w:val="Hyperlink"/>
          <w:rFonts w:ascii="Arial" w:hAnsi="Arial" w:cs="Arial"/>
          <w:color w:val="0070C0"/>
          <w:sz w:val="18"/>
          <w:szCs w:val="18"/>
          <w:lang w:val="nl-NL"/>
        </w:rPr>
        <w:t>Rekenregels 1 j</w:t>
      </w:r>
      <w:r w:rsidR="00636C0C">
        <w:rPr>
          <w:rStyle w:val="Hyperlink"/>
          <w:rFonts w:ascii="Arial" w:hAnsi="Arial" w:cs="Arial"/>
          <w:color w:val="0070C0"/>
          <w:sz w:val="18"/>
          <w:szCs w:val="18"/>
          <w:lang w:val="nl-NL"/>
        </w:rPr>
        <w:t>anuari 2025</w:t>
      </w:r>
      <w:r w:rsidR="00020F8A" w:rsidRPr="009B6D7B">
        <w:rPr>
          <w:rStyle w:val="Hyperlink"/>
          <w:rFonts w:ascii="Arial" w:hAnsi="Arial" w:cs="Arial"/>
          <w:color w:val="0070C0"/>
          <w:sz w:val="18"/>
          <w:szCs w:val="18"/>
          <w:lang w:val="nl-NL"/>
        </w:rPr>
        <w:t xml:space="preserve">, bijlage II.1 </w:t>
      </w:r>
      <w:r w:rsidR="00020F8A">
        <w:rPr>
          <w:rStyle w:val="Hyperlink"/>
          <w:rFonts w:ascii="Arial" w:hAnsi="Arial" w:cs="Arial"/>
          <w:color w:val="0070C0"/>
          <w:sz w:val="18"/>
          <w:szCs w:val="18"/>
          <w:lang w:val="nl-NL"/>
        </w:rPr>
        <w:fldChar w:fldCharType="end"/>
      </w:r>
      <w:r w:rsidR="00020F8A" w:rsidRPr="009B6D7B">
        <w:rPr>
          <w:rFonts w:ascii="Arial" w:hAnsi="Arial" w:cs="Arial"/>
          <w:color w:val="0070C0"/>
          <w:sz w:val="18"/>
          <w:szCs w:val="18"/>
          <w:lang w:val="nl-NL"/>
        </w:rPr>
        <w:t xml:space="preserve"> </w:t>
      </w:r>
    </w:p>
  </w:footnote>
  <w:footnote w:id="5">
    <w:p w14:paraId="64C6FAB3" w14:textId="77777777" w:rsidR="00EC52F2" w:rsidRPr="005D2ED3" w:rsidRDefault="00EC52F2" w:rsidP="00EC52F2">
      <w:pPr>
        <w:pStyle w:val="Voetnoottekst"/>
        <w:rPr>
          <w:rFonts w:ascii="Arial" w:hAnsi="Arial" w:cs="Arial"/>
          <w:sz w:val="19"/>
          <w:szCs w:val="19"/>
          <w:lang w:val="nl-NL"/>
        </w:rPr>
      </w:pPr>
      <w:r w:rsidRPr="005D2ED3">
        <w:rPr>
          <w:rStyle w:val="Voetnootmarkering"/>
          <w:rFonts w:ascii="Arial" w:hAnsi="Arial" w:cs="Arial"/>
          <w:sz w:val="19"/>
          <w:szCs w:val="19"/>
          <w:vertAlign w:val="superscript"/>
        </w:rPr>
        <w:footnoteRef/>
      </w:r>
      <w:r w:rsidRPr="005D2ED3">
        <w:rPr>
          <w:rFonts w:ascii="Arial" w:hAnsi="Arial" w:cs="Arial"/>
          <w:sz w:val="19"/>
          <w:szCs w:val="19"/>
          <w:vertAlign w:val="superscript"/>
          <w:lang w:val="nl-NL"/>
        </w:rPr>
        <w:t xml:space="preserve"> </w:t>
      </w:r>
      <w:r>
        <w:fldChar w:fldCharType="begin"/>
      </w:r>
      <w:r w:rsidRPr="00196E61">
        <w:rPr>
          <w:lang w:val="nl-NL"/>
        </w:rPr>
        <w:instrText>HYPERLINK "https://zoek.officielebekendmakingen.nl/stcrt-2024-41897.pdf"</w:instrText>
      </w:r>
      <w:r>
        <w:fldChar w:fldCharType="separate"/>
      </w:r>
      <w:proofErr w:type="spellStart"/>
      <w:r w:rsidRPr="005D2ED3">
        <w:rPr>
          <w:rStyle w:val="Hyperlink"/>
          <w:rFonts w:ascii="Arial" w:hAnsi="Arial" w:cs="Arial"/>
          <w:color w:val="0070C0"/>
          <w:sz w:val="19"/>
          <w:szCs w:val="19"/>
          <w:lang w:val="nl-NL"/>
        </w:rPr>
        <w:t>Stcrt</w:t>
      </w:r>
      <w:proofErr w:type="spellEnd"/>
      <w:r w:rsidRPr="005D2ED3">
        <w:rPr>
          <w:rStyle w:val="Hyperlink"/>
          <w:rFonts w:ascii="Arial" w:hAnsi="Arial" w:cs="Arial"/>
          <w:color w:val="0070C0"/>
          <w:sz w:val="19"/>
          <w:szCs w:val="19"/>
          <w:lang w:val="nl-NL"/>
        </w:rPr>
        <w:t>. 2024, nr. 41897</w:t>
      </w:r>
      <w:r>
        <w:rPr>
          <w:rStyle w:val="Hyperlink"/>
          <w:rFonts w:ascii="Arial" w:hAnsi="Arial" w:cs="Arial"/>
          <w:color w:val="0070C0"/>
          <w:sz w:val="19"/>
          <w:szCs w:val="19"/>
          <w:lang w:val="nl-NL"/>
        </w:rPr>
        <w:fldChar w:fldCharType="end"/>
      </w:r>
      <w:r>
        <w:rPr>
          <w:rFonts w:ascii="Arial" w:hAnsi="Arial" w:cs="Arial"/>
          <w:color w:val="0070C0"/>
          <w:sz w:val="19"/>
          <w:szCs w:val="19"/>
          <w:lang w:val="nl-NL"/>
        </w:rPr>
        <w:t xml:space="preserve"> </w:t>
      </w:r>
      <w:r w:rsidRPr="005D2ED3">
        <w:rPr>
          <w:rFonts w:ascii="Arial" w:hAnsi="Arial" w:cs="Arial"/>
          <w:sz w:val="19"/>
          <w:szCs w:val="19"/>
          <w:lang w:val="nl-NL"/>
        </w:rPr>
        <w:t>(Regeling huurtoeslaggrenzen 2025)</w:t>
      </w:r>
    </w:p>
  </w:footnote>
  <w:footnote w:id="6">
    <w:p w14:paraId="62F3B318" w14:textId="28FEEC3A" w:rsidR="002A74E5" w:rsidRPr="00E30064" w:rsidRDefault="002A74E5" w:rsidP="002B5C36">
      <w:pPr>
        <w:pStyle w:val="Voetnoottekst"/>
        <w:rPr>
          <w:rFonts w:ascii="Arial" w:hAnsi="Arial" w:cs="Arial"/>
          <w:sz w:val="19"/>
          <w:szCs w:val="19"/>
          <w:lang w:val="nl-NL"/>
        </w:rPr>
      </w:pPr>
      <w:r w:rsidRPr="00E30064">
        <w:rPr>
          <w:rStyle w:val="Voetnootmarkering"/>
          <w:rFonts w:ascii="Arial" w:eastAsiaTheme="majorEastAsia" w:hAnsi="Arial" w:cs="Arial"/>
          <w:sz w:val="19"/>
          <w:szCs w:val="19"/>
          <w:vertAlign w:val="superscript"/>
        </w:rPr>
        <w:footnoteRef/>
      </w:r>
      <w:r w:rsidRPr="00E30064">
        <w:rPr>
          <w:rFonts w:ascii="Arial" w:hAnsi="Arial" w:cs="Arial"/>
          <w:sz w:val="19"/>
          <w:szCs w:val="19"/>
          <w:lang w:val="nl-NL"/>
        </w:rPr>
        <w:t xml:space="preserve"> Artikel 17, </w:t>
      </w:r>
      <w:r>
        <w:rPr>
          <w:rFonts w:ascii="Arial" w:hAnsi="Arial" w:cs="Arial"/>
          <w:sz w:val="19"/>
          <w:szCs w:val="19"/>
          <w:lang w:val="nl-NL"/>
        </w:rPr>
        <w:t xml:space="preserve">lid </w:t>
      </w:r>
      <w:r w:rsidRPr="00E30064">
        <w:rPr>
          <w:rFonts w:ascii="Arial" w:hAnsi="Arial" w:cs="Arial"/>
          <w:sz w:val="19"/>
          <w:szCs w:val="19"/>
          <w:lang w:val="nl-NL"/>
        </w:rPr>
        <w:t>3, onderdeel a, W</w:t>
      </w:r>
      <w:r w:rsidR="00EC52F2">
        <w:rPr>
          <w:rFonts w:ascii="Arial" w:hAnsi="Arial" w:cs="Arial"/>
          <w:sz w:val="19"/>
          <w:szCs w:val="19"/>
          <w:lang w:val="nl-NL"/>
        </w:rPr>
        <w:t>HT</w:t>
      </w:r>
      <w:r w:rsidR="005D2ED3">
        <w:rPr>
          <w:rFonts w:ascii="Arial" w:hAnsi="Arial" w:cs="Arial"/>
          <w:sz w:val="19"/>
          <w:szCs w:val="19"/>
          <w:lang w:val="nl-NL"/>
        </w:rPr>
        <w:t xml:space="preserve"> (</w:t>
      </w:r>
      <w:r w:rsidR="005D2ED3" w:rsidRPr="005D2ED3">
        <w:rPr>
          <w:rFonts w:ascii="Arial" w:hAnsi="Arial" w:cs="Arial"/>
          <w:sz w:val="19"/>
          <w:szCs w:val="19"/>
          <w:lang w:val="nl-NL"/>
        </w:rPr>
        <w:t>€ 238,01</w:t>
      </w:r>
      <w:r w:rsidR="005D2ED3">
        <w:rPr>
          <w:rFonts w:ascii="Arial" w:hAnsi="Arial" w:cs="Arial"/>
          <w:sz w:val="19"/>
          <w:szCs w:val="19"/>
          <w:lang w:val="nl-NL"/>
        </w:rPr>
        <w:t xml:space="preserve"> -/-</w:t>
      </w:r>
      <w:r w:rsidR="005D2ED3" w:rsidRPr="005D2ED3">
        <w:rPr>
          <w:rFonts w:ascii="Arial" w:hAnsi="Arial" w:cs="Arial"/>
          <w:sz w:val="19"/>
          <w:szCs w:val="19"/>
          <w:lang w:val="nl-NL"/>
        </w:rPr>
        <w:t xml:space="preserve"> € 1,82 </w:t>
      </w:r>
      <w:r w:rsidR="005D2ED3">
        <w:rPr>
          <w:rFonts w:ascii="Arial" w:hAnsi="Arial" w:cs="Arial"/>
          <w:sz w:val="19"/>
          <w:szCs w:val="19"/>
          <w:lang w:val="nl-NL"/>
        </w:rPr>
        <w:t xml:space="preserve">-/- </w:t>
      </w:r>
      <w:r w:rsidR="005D2ED3" w:rsidRPr="005D2ED3">
        <w:rPr>
          <w:rFonts w:ascii="Arial" w:hAnsi="Arial" w:cs="Arial"/>
          <w:sz w:val="19"/>
          <w:szCs w:val="19"/>
          <w:lang w:val="nl-NL"/>
        </w:rPr>
        <w:t>€ 37,14)</w:t>
      </w:r>
    </w:p>
  </w:footnote>
  <w:footnote w:id="7">
    <w:p w14:paraId="3A2A85D9" w14:textId="56B55931" w:rsidR="002A74E5" w:rsidRPr="00E30064" w:rsidRDefault="002A74E5" w:rsidP="002B5C36">
      <w:pPr>
        <w:pStyle w:val="Voetnoottekst"/>
        <w:rPr>
          <w:rFonts w:ascii="Arial" w:hAnsi="Arial" w:cs="Arial"/>
          <w:sz w:val="19"/>
          <w:szCs w:val="19"/>
          <w:lang w:val="nl-NL"/>
        </w:rPr>
      </w:pPr>
      <w:r w:rsidRPr="00E30064">
        <w:rPr>
          <w:rStyle w:val="Voetnootmarkering"/>
          <w:rFonts w:ascii="Arial" w:eastAsiaTheme="majorEastAsia" w:hAnsi="Arial" w:cs="Arial"/>
          <w:sz w:val="19"/>
          <w:szCs w:val="19"/>
          <w:vertAlign w:val="superscript"/>
        </w:rPr>
        <w:footnoteRef/>
      </w:r>
      <w:r w:rsidRPr="00E30064">
        <w:rPr>
          <w:rFonts w:ascii="Arial" w:hAnsi="Arial" w:cs="Arial"/>
          <w:sz w:val="19"/>
          <w:szCs w:val="19"/>
          <w:lang w:val="nl-NL"/>
        </w:rPr>
        <w:t xml:space="preserve"> Artikel 17, </w:t>
      </w:r>
      <w:r>
        <w:rPr>
          <w:rFonts w:ascii="Arial" w:hAnsi="Arial" w:cs="Arial"/>
          <w:sz w:val="19"/>
          <w:szCs w:val="19"/>
          <w:lang w:val="nl-NL"/>
        </w:rPr>
        <w:t xml:space="preserve">lid </w:t>
      </w:r>
      <w:r w:rsidRPr="00E30064">
        <w:rPr>
          <w:rFonts w:ascii="Arial" w:hAnsi="Arial" w:cs="Arial"/>
          <w:sz w:val="19"/>
          <w:szCs w:val="19"/>
          <w:lang w:val="nl-NL"/>
        </w:rPr>
        <w:t>3, onderdeel b, W</w:t>
      </w:r>
      <w:r w:rsidR="00EC52F2">
        <w:rPr>
          <w:rFonts w:ascii="Arial" w:hAnsi="Arial" w:cs="Arial"/>
          <w:sz w:val="19"/>
          <w:szCs w:val="19"/>
          <w:lang w:val="nl-NL"/>
        </w:rPr>
        <w:t>HT</w:t>
      </w:r>
      <w:r w:rsidR="005D2ED3">
        <w:rPr>
          <w:rFonts w:ascii="Arial" w:hAnsi="Arial" w:cs="Arial"/>
          <w:sz w:val="19"/>
          <w:szCs w:val="19"/>
          <w:lang w:val="nl-NL"/>
        </w:rPr>
        <w:t xml:space="preserve"> </w:t>
      </w:r>
      <w:r w:rsidR="005D2ED3" w:rsidRPr="005D2ED3">
        <w:rPr>
          <w:rFonts w:ascii="Arial" w:hAnsi="Arial" w:cs="Arial"/>
          <w:sz w:val="19"/>
          <w:szCs w:val="19"/>
          <w:lang w:val="nl-NL"/>
        </w:rPr>
        <w:t xml:space="preserve">(€ 238,01 </w:t>
      </w:r>
      <w:r w:rsidR="005D2ED3">
        <w:rPr>
          <w:rFonts w:ascii="Arial" w:hAnsi="Arial" w:cs="Arial"/>
          <w:sz w:val="19"/>
          <w:szCs w:val="19"/>
          <w:lang w:val="nl-NL"/>
        </w:rPr>
        <w:t xml:space="preserve">-/- </w:t>
      </w:r>
      <w:r w:rsidR="005D2ED3" w:rsidRPr="005D2ED3">
        <w:rPr>
          <w:rFonts w:ascii="Arial" w:hAnsi="Arial" w:cs="Arial"/>
          <w:sz w:val="19"/>
          <w:szCs w:val="19"/>
          <w:lang w:val="nl-NL"/>
        </w:rPr>
        <w:t xml:space="preserve">€ </w:t>
      </w:r>
      <w:r w:rsidR="005D2ED3">
        <w:rPr>
          <w:rFonts w:ascii="Arial" w:hAnsi="Arial" w:cs="Arial"/>
          <w:sz w:val="19"/>
          <w:szCs w:val="19"/>
          <w:lang w:val="nl-NL"/>
        </w:rPr>
        <w:t>3,63 -/-</w:t>
      </w:r>
      <w:r w:rsidR="005D2ED3" w:rsidRPr="005D2ED3">
        <w:rPr>
          <w:rFonts w:ascii="Arial" w:hAnsi="Arial" w:cs="Arial"/>
          <w:sz w:val="19"/>
          <w:szCs w:val="19"/>
          <w:lang w:val="nl-NL"/>
        </w:rPr>
        <w:t xml:space="preserve"> € 37,14)</w:t>
      </w:r>
    </w:p>
  </w:footnote>
  <w:footnote w:id="8">
    <w:p w14:paraId="0C5D9F6A" w14:textId="4F70075D" w:rsidR="002A74E5" w:rsidRPr="00E30064" w:rsidRDefault="002A74E5" w:rsidP="002B5C36">
      <w:pPr>
        <w:pStyle w:val="Voetnoottekst"/>
        <w:rPr>
          <w:rFonts w:ascii="Arial" w:hAnsi="Arial" w:cs="Arial"/>
          <w:sz w:val="19"/>
          <w:szCs w:val="19"/>
          <w:lang w:val="nl-NL"/>
        </w:rPr>
      </w:pPr>
      <w:r w:rsidRPr="00E30064">
        <w:rPr>
          <w:rStyle w:val="Voetnootmarkering"/>
          <w:rFonts w:ascii="Arial" w:eastAsiaTheme="majorEastAsia" w:hAnsi="Arial" w:cs="Arial"/>
          <w:sz w:val="19"/>
          <w:szCs w:val="19"/>
          <w:vertAlign w:val="superscript"/>
        </w:rPr>
        <w:footnoteRef/>
      </w:r>
      <w:r w:rsidRPr="00E30064">
        <w:rPr>
          <w:rFonts w:ascii="Arial" w:hAnsi="Arial" w:cs="Arial"/>
          <w:sz w:val="19"/>
          <w:szCs w:val="19"/>
          <w:lang w:val="nl-NL"/>
        </w:rPr>
        <w:t xml:space="preserve"> Artikel 13, lid 1, onderdeel a, W</w:t>
      </w:r>
      <w:r w:rsidR="00EC52F2">
        <w:rPr>
          <w:rFonts w:ascii="Arial" w:hAnsi="Arial" w:cs="Arial"/>
          <w:sz w:val="19"/>
          <w:szCs w:val="19"/>
          <w:lang w:val="nl-NL"/>
        </w:rPr>
        <w:t>HT</w:t>
      </w:r>
    </w:p>
  </w:footnote>
  <w:footnote w:id="9">
    <w:p w14:paraId="5F7BCC42" w14:textId="7C81FF92" w:rsidR="001426EE" w:rsidRPr="001426EE" w:rsidRDefault="001426EE">
      <w:pPr>
        <w:pStyle w:val="Voetnoottekst"/>
        <w:rPr>
          <w:rFonts w:ascii="Arial" w:hAnsi="Arial" w:cs="Arial"/>
          <w:sz w:val="19"/>
          <w:szCs w:val="19"/>
          <w:lang w:val="nl-NL"/>
        </w:rPr>
      </w:pPr>
      <w:r w:rsidRPr="00E30064">
        <w:rPr>
          <w:rStyle w:val="Voetnootmarkering"/>
          <w:rFonts w:ascii="Arial" w:hAnsi="Arial" w:cs="Arial"/>
          <w:sz w:val="19"/>
          <w:szCs w:val="19"/>
          <w:vertAlign w:val="superscript"/>
        </w:rPr>
        <w:footnoteRef/>
      </w:r>
      <w:r w:rsidRPr="00E30064">
        <w:rPr>
          <w:rFonts w:ascii="Arial" w:hAnsi="Arial" w:cs="Arial"/>
          <w:sz w:val="19"/>
          <w:szCs w:val="19"/>
          <w:vertAlign w:val="superscript"/>
          <w:lang w:val="nl-NL"/>
        </w:rPr>
        <w:t xml:space="preserve"> </w:t>
      </w:r>
      <w:bookmarkStart w:id="1" w:name="_Hlk170482133"/>
      <w:r w:rsidRPr="00E30064">
        <w:rPr>
          <w:rFonts w:ascii="Arial" w:hAnsi="Arial" w:cs="Arial"/>
          <w:sz w:val="19"/>
          <w:szCs w:val="19"/>
          <w:lang w:val="nl-NL"/>
        </w:rPr>
        <w:t>Artikel 23, lid 2, Participatiewet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44B9" w14:textId="72531D90" w:rsidR="00105031" w:rsidRDefault="002C1157" w:rsidP="00197EFD">
    <w:pPr>
      <w:pStyle w:val="Koptekst"/>
      <w:jc w:val="right"/>
    </w:pPr>
    <w:r w:rsidRPr="002E3B9D">
      <w:rPr>
        <w:noProof/>
      </w:rPr>
      <w:drawing>
        <wp:anchor distT="0" distB="0" distL="114300" distR="114300" simplePos="0" relativeHeight="251661312" behindDoc="1" locked="0" layoutInCell="0" allowOverlap="1" wp14:anchorId="456608E1" wp14:editId="766F6EAB">
          <wp:simplePos x="0" y="0"/>
          <wp:positionH relativeFrom="page">
            <wp:posOffset>900430</wp:posOffset>
          </wp:positionH>
          <wp:positionV relativeFrom="page">
            <wp:posOffset>449580</wp:posOffset>
          </wp:positionV>
          <wp:extent cx="864000" cy="452263"/>
          <wp:effectExtent l="0" t="0" r="0" b="0"/>
          <wp:wrapNone/>
          <wp:docPr id="13" name="Afbeelding 13"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D1BF" w14:textId="42CC46A1" w:rsidR="00105031" w:rsidRDefault="002C1157" w:rsidP="00874645">
    <w:pPr>
      <w:pStyle w:val="Koptekst"/>
      <w:jc w:val="right"/>
    </w:pPr>
    <w:r w:rsidRPr="002E3B9D">
      <w:rPr>
        <w:noProof/>
      </w:rPr>
      <w:drawing>
        <wp:anchor distT="0" distB="0" distL="114300" distR="114300" simplePos="0" relativeHeight="251659264" behindDoc="1" locked="0" layoutInCell="0" allowOverlap="1" wp14:anchorId="09130EA1" wp14:editId="3B24DE80">
          <wp:simplePos x="0" y="0"/>
          <wp:positionH relativeFrom="page">
            <wp:posOffset>900430</wp:posOffset>
          </wp:positionH>
          <wp:positionV relativeFrom="page">
            <wp:posOffset>449580</wp:posOffset>
          </wp:positionV>
          <wp:extent cx="864000" cy="452263"/>
          <wp:effectExtent l="0" t="0" r="0" b="0"/>
          <wp:wrapNone/>
          <wp:docPr id="14" name="Afbeelding 14"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874"/>
    <w:multiLevelType w:val="hybridMultilevel"/>
    <w:tmpl w:val="C3D67BFE"/>
    <w:lvl w:ilvl="0" w:tplc="C6D0BEB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2901EE"/>
    <w:multiLevelType w:val="hybridMultilevel"/>
    <w:tmpl w:val="6BAE65EA"/>
    <w:lvl w:ilvl="0" w:tplc="85D48E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510398"/>
    <w:multiLevelType w:val="hybridMultilevel"/>
    <w:tmpl w:val="9BE4F44C"/>
    <w:lvl w:ilvl="0" w:tplc="EA0E9BDA">
      <w:start w:val="65"/>
      <w:numFmt w:val="bullet"/>
      <w:lvlText w:val="-"/>
      <w:lvlJc w:val="left"/>
      <w:pPr>
        <w:tabs>
          <w:tab w:val="num" w:pos="360"/>
        </w:tabs>
        <w:ind w:left="360" w:hanging="360"/>
      </w:pPr>
      <w:rPr>
        <w:rFonts w:ascii="Arial" w:eastAsia="Times New Roman" w:hAnsi="Aria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830E1B"/>
    <w:multiLevelType w:val="hybridMultilevel"/>
    <w:tmpl w:val="126ADA90"/>
    <w:lvl w:ilvl="0" w:tplc="A072AB3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2A7ECB"/>
    <w:multiLevelType w:val="hybridMultilevel"/>
    <w:tmpl w:val="49281666"/>
    <w:lvl w:ilvl="0" w:tplc="7F0A05E2">
      <w:numFmt w:val="bullet"/>
      <w:lvlText w:val="-"/>
      <w:lvlJc w:val="left"/>
      <w:pPr>
        <w:tabs>
          <w:tab w:val="num" w:pos="294"/>
        </w:tabs>
        <w:ind w:left="294" w:hanging="360"/>
      </w:pPr>
      <w:rPr>
        <w:rFonts w:ascii="Times New Roman" w:eastAsia="Times New Roman" w:hAnsi="Times New Roman" w:cs="Times New Roman" w:hint="default"/>
      </w:rPr>
    </w:lvl>
    <w:lvl w:ilvl="1" w:tplc="04130003">
      <w:start w:val="1"/>
      <w:numFmt w:val="bullet"/>
      <w:lvlText w:val="o"/>
      <w:lvlJc w:val="left"/>
      <w:pPr>
        <w:tabs>
          <w:tab w:val="num" w:pos="1014"/>
        </w:tabs>
        <w:ind w:left="1014" w:hanging="360"/>
      </w:pPr>
      <w:rPr>
        <w:rFonts w:ascii="Courier New" w:hAnsi="Courier New" w:cs="Courier New" w:hint="default"/>
      </w:rPr>
    </w:lvl>
    <w:lvl w:ilvl="2" w:tplc="04130005" w:tentative="1">
      <w:start w:val="1"/>
      <w:numFmt w:val="bullet"/>
      <w:lvlText w:val=""/>
      <w:lvlJc w:val="left"/>
      <w:pPr>
        <w:tabs>
          <w:tab w:val="num" w:pos="1734"/>
        </w:tabs>
        <w:ind w:left="1734" w:hanging="360"/>
      </w:pPr>
      <w:rPr>
        <w:rFonts w:ascii="Wingdings" w:hAnsi="Wingdings" w:hint="default"/>
      </w:rPr>
    </w:lvl>
    <w:lvl w:ilvl="3" w:tplc="04130001" w:tentative="1">
      <w:start w:val="1"/>
      <w:numFmt w:val="bullet"/>
      <w:lvlText w:val=""/>
      <w:lvlJc w:val="left"/>
      <w:pPr>
        <w:tabs>
          <w:tab w:val="num" w:pos="2454"/>
        </w:tabs>
        <w:ind w:left="2454" w:hanging="360"/>
      </w:pPr>
      <w:rPr>
        <w:rFonts w:ascii="Symbol" w:hAnsi="Symbol" w:hint="default"/>
      </w:rPr>
    </w:lvl>
    <w:lvl w:ilvl="4" w:tplc="04130003" w:tentative="1">
      <w:start w:val="1"/>
      <w:numFmt w:val="bullet"/>
      <w:lvlText w:val="o"/>
      <w:lvlJc w:val="left"/>
      <w:pPr>
        <w:tabs>
          <w:tab w:val="num" w:pos="3174"/>
        </w:tabs>
        <w:ind w:left="3174" w:hanging="360"/>
      </w:pPr>
      <w:rPr>
        <w:rFonts w:ascii="Courier New" w:hAnsi="Courier New" w:cs="Courier New" w:hint="default"/>
      </w:rPr>
    </w:lvl>
    <w:lvl w:ilvl="5" w:tplc="04130005" w:tentative="1">
      <w:start w:val="1"/>
      <w:numFmt w:val="bullet"/>
      <w:lvlText w:val=""/>
      <w:lvlJc w:val="left"/>
      <w:pPr>
        <w:tabs>
          <w:tab w:val="num" w:pos="3894"/>
        </w:tabs>
        <w:ind w:left="3894" w:hanging="360"/>
      </w:pPr>
      <w:rPr>
        <w:rFonts w:ascii="Wingdings" w:hAnsi="Wingdings" w:hint="default"/>
      </w:rPr>
    </w:lvl>
    <w:lvl w:ilvl="6" w:tplc="04130001" w:tentative="1">
      <w:start w:val="1"/>
      <w:numFmt w:val="bullet"/>
      <w:lvlText w:val=""/>
      <w:lvlJc w:val="left"/>
      <w:pPr>
        <w:tabs>
          <w:tab w:val="num" w:pos="4614"/>
        </w:tabs>
        <w:ind w:left="4614" w:hanging="360"/>
      </w:pPr>
      <w:rPr>
        <w:rFonts w:ascii="Symbol" w:hAnsi="Symbol" w:hint="default"/>
      </w:rPr>
    </w:lvl>
    <w:lvl w:ilvl="7" w:tplc="04130003" w:tentative="1">
      <w:start w:val="1"/>
      <w:numFmt w:val="bullet"/>
      <w:lvlText w:val="o"/>
      <w:lvlJc w:val="left"/>
      <w:pPr>
        <w:tabs>
          <w:tab w:val="num" w:pos="5334"/>
        </w:tabs>
        <w:ind w:left="5334" w:hanging="360"/>
      </w:pPr>
      <w:rPr>
        <w:rFonts w:ascii="Courier New" w:hAnsi="Courier New" w:cs="Courier New" w:hint="default"/>
      </w:rPr>
    </w:lvl>
    <w:lvl w:ilvl="8" w:tplc="04130005" w:tentative="1">
      <w:start w:val="1"/>
      <w:numFmt w:val="bullet"/>
      <w:lvlText w:val=""/>
      <w:lvlJc w:val="left"/>
      <w:pPr>
        <w:tabs>
          <w:tab w:val="num" w:pos="6054"/>
        </w:tabs>
        <w:ind w:left="6054" w:hanging="360"/>
      </w:pPr>
      <w:rPr>
        <w:rFonts w:ascii="Wingdings" w:hAnsi="Wingdings" w:hint="default"/>
      </w:rPr>
    </w:lvl>
  </w:abstractNum>
  <w:abstractNum w:abstractNumId="5" w15:restartNumberingAfterBreak="0">
    <w:nsid w:val="4EBD7BA5"/>
    <w:multiLevelType w:val="hybridMultilevel"/>
    <w:tmpl w:val="7A0A4794"/>
    <w:lvl w:ilvl="0" w:tplc="CF6AA5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706ED8"/>
    <w:multiLevelType w:val="hybridMultilevel"/>
    <w:tmpl w:val="47084A44"/>
    <w:lvl w:ilvl="0" w:tplc="7F0A05E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0B77EA9"/>
    <w:multiLevelType w:val="multilevel"/>
    <w:tmpl w:val="F800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C3BE7"/>
    <w:multiLevelType w:val="hybridMultilevel"/>
    <w:tmpl w:val="AFBC437A"/>
    <w:lvl w:ilvl="0" w:tplc="7F0A05E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5594455">
    <w:abstractNumId w:val="4"/>
  </w:num>
  <w:num w:numId="2" w16cid:durableId="431164698">
    <w:abstractNumId w:val="2"/>
  </w:num>
  <w:num w:numId="3" w16cid:durableId="1801221550">
    <w:abstractNumId w:val="3"/>
  </w:num>
  <w:num w:numId="4" w16cid:durableId="90247141">
    <w:abstractNumId w:val="8"/>
  </w:num>
  <w:num w:numId="5" w16cid:durableId="99499005">
    <w:abstractNumId w:val="0"/>
  </w:num>
  <w:num w:numId="6" w16cid:durableId="675620660">
    <w:abstractNumId w:val="6"/>
  </w:num>
  <w:num w:numId="7" w16cid:durableId="607547348">
    <w:abstractNumId w:val="5"/>
  </w:num>
  <w:num w:numId="8" w16cid:durableId="627321204">
    <w:abstractNumId w:val="1"/>
  </w:num>
  <w:num w:numId="9" w16cid:durableId="428236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FD"/>
    <w:rsid w:val="000007FE"/>
    <w:rsid w:val="00007A09"/>
    <w:rsid w:val="0001318E"/>
    <w:rsid w:val="00013AF9"/>
    <w:rsid w:val="0001572E"/>
    <w:rsid w:val="00015748"/>
    <w:rsid w:val="00017C05"/>
    <w:rsid w:val="00020F8A"/>
    <w:rsid w:val="000241CB"/>
    <w:rsid w:val="00027252"/>
    <w:rsid w:val="000355FC"/>
    <w:rsid w:val="00036FDA"/>
    <w:rsid w:val="0004413A"/>
    <w:rsid w:val="000458B8"/>
    <w:rsid w:val="00046027"/>
    <w:rsid w:val="0004609A"/>
    <w:rsid w:val="00055D11"/>
    <w:rsid w:val="00071797"/>
    <w:rsid w:val="00073470"/>
    <w:rsid w:val="00074628"/>
    <w:rsid w:val="00081B06"/>
    <w:rsid w:val="00084BC2"/>
    <w:rsid w:val="0008581D"/>
    <w:rsid w:val="00087E18"/>
    <w:rsid w:val="000907E4"/>
    <w:rsid w:val="000A20C6"/>
    <w:rsid w:val="000B19D5"/>
    <w:rsid w:val="000B63B3"/>
    <w:rsid w:val="000C067A"/>
    <w:rsid w:val="000C0CCD"/>
    <w:rsid w:val="000C2491"/>
    <w:rsid w:val="000C4C76"/>
    <w:rsid w:val="000C7ADF"/>
    <w:rsid w:val="000D22B8"/>
    <w:rsid w:val="000E43F7"/>
    <w:rsid w:val="000F2977"/>
    <w:rsid w:val="000F3330"/>
    <w:rsid w:val="000F6451"/>
    <w:rsid w:val="0010211C"/>
    <w:rsid w:val="00103B75"/>
    <w:rsid w:val="00105031"/>
    <w:rsid w:val="00110AAF"/>
    <w:rsid w:val="0011226E"/>
    <w:rsid w:val="00116EF4"/>
    <w:rsid w:val="00124580"/>
    <w:rsid w:val="001256C0"/>
    <w:rsid w:val="00130508"/>
    <w:rsid w:val="00131B9C"/>
    <w:rsid w:val="001335D7"/>
    <w:rsid w:val="001426EE"/>
    <w:rsid w:val="00144AE8"/>
    <w:rsid w:val="00152521"/>
    <w:rsid w:val="00156E39"/>
    <w:rsid w:val="00156F5B"/>
    <w:rsid w:val="00160CCA"/>
    <w:rsid w:val="00162A38"/>
    <w:rsid w:val="00174B33"/>
    <w:rsid w:val="00175F1D"/>
    <w:rsid w:val="00182B54"/>
    <w:rsid w:val="00196E61"/>
    <w:rsid w:val="00197EFD"/>
    <w:rsid w:val="001A3733"/>
    <w:rsid w:val="001A60AE"/>
    <w:rsid w:val="001B7A58"/>
    <w:rsid w:val="001C1282"/>
    <w:rsid w:val="001C3B3F"/>
    <w:rsid w:val="001D6A7B"/>
    <w:rsid w:val="001E16A1"/>
    <w:rsid w:val="001E57C1"/>
    <w:rsid w:val="001E7B00"/>
    <w:rsid w:val="00206494"/>
    <w:rsid w:val="00207BD1"/>
    <w:rsid w:val="002115BD"/>
    <w:rsid w:val="002118C6"/>
    <w:rsid w:val="00212279"/>
    <w:rsid w:val="00212341"/>
    <w:rsid w:val="002144B8"/>
    <w:rsid w:val="00215C66"/>
    <w:rsid w:val="00216A19"/>
    <w:rsid w:val="00217F71"/>
    <w:rsid w:val="00223955"/>
    <w:rsid w:val="00225925"/>
    <w:rsid w:val="00225A9A"/>
    <w:rsid w:val="00243969"/>
    <w:rsid w:val="0025394C"/>
    <w:rsid w:val="00254517"/>
    <w:rsid w:val="00280F16"/>
    <w:rsid w:val="00284B21"/>
    <w:rsid w:val="00292737"/>
    <w:rsid w:val="002A229C"/>
    <w:rsid w:val="002A4C98"/>
    <w:rsid w:val="002A74E5"/>
    <w:rsid w:val="002B5C36"/>
    <w:rsid w:val="002C0699"/>
    <w:rsid w:val="002C1157"/>
    <w:rsid w:val="002C3DAB"/>
    <w:rsid w:val="002D2B95"/>
    <w:rsid w:val="002D2C9D"/>
    <w:rsid w:val="002E019A"/>
    <w:rsid w:val="002E0585"/>
    <w:rsid w:val="002E0CFB"/>
    <w:rsid w:val="002F0512"/>
    <w:rsid w:val="00303075"/>
    <w:rsid w:val="00311EAE"/>
    <w:rsid w:val="00315CC3"/>
    <w:rsid w:val="0031658E"/>
    <w:rsid w:val="00317470"/>
    <w:rsid w:val="003307E1"/>
    <w:rsid w:val="00332790"/>
    <w:rsid w:val="00336D00"/>
    <w:rsid w:val="00343DB0"/>
    <w:rsid w:val="00356BD2"/>
    <w:rsid w:val="003571A9"/>
    <w:rsid w:val="00361443"/>
    <w:rsid w:val="0036170A"/>
    <w:rsid w:val="00370F10"/>
    <w:rsid w:val="00373F53"/>
    <w:rsid w:val="00375941"/>
    <w:rsid w:val="0038120D"/>
    <w:rsid w:val="00382E36"/>
    <w:rsid w:val="0038350E"/>
    <w:rsid w:val="00386D5C"/>
    <w:rsid w:val="003916AB"/>
    <w:rsid w:val="003940FD"/>
    <w:rsid w:val="00396A31"/>
    <w:rsid w:val="00397814"/>
    <w:rsid w:val="003C1B72"/>
    <w:rsid w:val="003D445B"/>
    <w:rsid w:val="003D4BAC"/>
    <w:rsid w:val="003F028A"/>
    <w:rsid w:val="00400F8E"/>
    <w:rsid w:val="00407A13"/>
    <w:rsid w:val="00413D46"/>
    <w:rsid w:val="00415855"/>
    <w:rsid w:val="00420FD2"/>
    <w:rsid w:val="004446A7"/>
    <w:rsid w:val="004534D4"/>
    <w:rsid w:val="00464DCD"/>
    <w:rsid w:val="00473770"/>
    <w:rsid w:val="004875A7"/>
    <w:rsid w:val="00487B6C"/>
    <w:rsid w:val="00487F59"/>
    <w:rsid w:val="00494A5B"/>
    <w:rsid w:val="00495831"/>
    <w:rsid w:val="004A2126"/>
    <w:rsid w:val="004A22C9"/>
    <w:rsid w:val="004A5C8D"/>
    <w:rsid w:val="004A5D6A"/>
    <w:rsid w:val="004A62AF"/>
    <w:rsid w:val="004A639D"/>
    <w:rsid w:val="004A7338"/>
    <w:rsid w:val="004B3E60"/>
    <w:rsid w:val="004B584E"/>
    <w:rsid w:val="004B68F2"/>
    <w:rsid w:val="004C0604"/>
    <w:rsid w:val="004C68C7"/>
    <w:rsid w:val="004E689B"/>
    <w:rsid w:val="004E7538"/>
    <w:rsid w:val="004F63F2"/>
    <w:rsid w:val="0051087A"/>
    <w:rsid w:val="005153DA"/>
    <w:rsid w:val="00527386"/>
    <w:rsid w:val="005366D5"/>
    <w:rsid w:val="00536DB3"/>
    <w:rsid w:val="00543A93"/>
    <w:rsid w:val="005541E8"/>
    <w:rsid w:val="00555948"/>
    <w:rsid w:val="0058630A"/>
    <w:rsid w:val="005919E6"/>
    <w:rsid w:val="005B2DD7"/>
    <w:rsid w:val="005C4E45"/>
    <w:rsid w:val="005D2ED3"/>
    <w:rsid w:val="005D388D"/>
    <w:rsid w:val="005E0273"/>
    <w:rsid w:val="005E5857"/>
    <w:rsid w:val="005F084B"/>
    <w:rsid w:val="005F3EEE"/>
    <w:rsid w:val="00605A8D"/>
    <w:rsid w:val="00612606"/>
    <w:rsid w:val="0061722E"/>
    <w:rsid w:val="00626629"/>
    <w:rsid w:val="00632605"/>
    <w:rsid w:val="00636C0C"/>
    <w:rsid w:val="00637258"/>
    <w:rsid w:val="00642117"/>
    <w:rsid w:val="006431ED"/>
    <w:rsid w:val="00650AC2"/>
    <w:rsid w:val="00662EA8"/>
    <w:rsid w:val="00665FA9"/>
    <w:rsid w:val="00671F51"/>
    <w:rsid w:val="00676594"/>
    <w:rsid w:val="0067755F"/>
    <w:rsid w:val="00677EF6"/>
    <w:rsid w:val="006959E5"/>
    <w:rsid w:val="006973A6"/>
    <w:rsid w:val="006A0A0D"/>
    <w:rsid w:val="006A1FBB"/>
    <w:rsid w:val="006A4DD6"/>
    <w:rsid w:val="006C7A92"/>
    <w:rsid w:val="006D06B3"/>
    <w:rsid w:val="006D2321"/>
    <w:rsid w:val="006E2E64"/>
    <w:rsid w:val="006E381A"/>
    <w:rsid w:val="006F0A4B"/>
    <w:rsid w:val="006F714E"/>
    <w:rsid w:val="006F7CC2"/>
    <w:rsid w:val="007026E4"/>
    <w:rsid w:val="00704E30"/>
    <w:rsid w:val="00707688"/>
    <w:rsid w:val="007310DA"/>
    <w:rsid w:val="00731B49"/>
    <w:rsid w:val="00735FD4"/>
    <w:rsid w:val="00742AA4"/>
    <w:rsid w:val="007434E7"/>
    <w:rsid w:val="007455DB"/>
    <w:rsid w:val="00751B77"/>
    <w:rsid w:val="00761DA7"/>
    <w:rsid w:val="00773D09"/>
    <w:rsid w:val="0078264E"/>
    <w:rsid w:val="007937CE"/>
    <w:rsid w:val="00793C94"/>
    <w:rsid w:val="00794CAE"/>
    <w:rsid w:val="007959EF"/>
    <w:rsid w:val="0079688B"/>
    <w:rsid w:val="007A5FCB"/>
    <w:rsid w:val="007B0D44"/>
    <w:rsid w:val="007B4932"/>
    <w:rsid w:val="007B65CA"/>
    <w:rsid w:val="007C2AE4"/>
    <w:rsid w:val="007D40C4"/>
    <w:rsid w:val="007D553E"/>
    <w:rsid w:val="007E35F2"/>
    <w:rsid w:val="007F1809"/>
    <w:rsid w:val="008030C2"/>
    <w:rsid w:val="00812749"/>
    <w:rsid w:val="00812916"/>
    <w:rsid w:val="008241BB"/>
    <w:rsid w:val="00833647"/>
    <w:rsid w:val="00845298"/>
    <w:rsid w:val="00852426"/>
    <w:rsid w:val="00853EB5"/>
    <w:rsid w:val="00863CB8"/>
    <w:rsid w:val="00864207"/>
    <w:rsid w:val="008706DF"/>
    <w:rsid w:val="00874645"/>
    <w:rsid w:val="00874AB8"/>
    <w:rsid w:val="00877543"/>
    <w:rsid w:val="00882755"/>
    <w:rsid w:val="00882D68"/>
    <w:rsid w:val="008843EE"/>
    <w:rsid w:val="00885DFD"/>
    <w:rsid w:val="00895E6C"/>
    <w:rsid w:val="008A6879"/>
    <w:rsid w:val="008B101A"/>
    <w:rsid w:val="008C14FA"/>
    <w:rsid w:val="008C5385"/>
    <w:rsid w:val="008D5858"/>
    <w:rsid w:val="008E532D"/>
    <w:rsid w:val="008E6E22"/>
    <w:rsid w:val="009072C0"/>
    <w:rsid w:val="009133B3"/>
    <w:rsid w:val="009176A4"/>
    <w:rsid w:val="00935787"/>
    <w:rsid w:val="009537A8"/>
    <w:rsid w:val="0096100A"/>
    <w:rsid w:val="00963434"/>
    <w:rsid w:val="009712CE"/>
    <w:rsid w:val="00982E1A"/>
    <w:rsid w:val="009841E6"/>
    <w:rsid w:val="009908A9"/>
    <w:rsid w:val="009A1A5E"/>
    <w:rsid w:val="009A7DFA"/>
    <w:rsid w:val="009B6D7B"/>
    <w:rsid w:val="009C71C7"/>
    <w:rsid w:val="009E705F"/>
    <w:rsid w:val="009E72F2"/>
    <w:rsid w:val="009E7E29"/>
    <w:rsid w:val="009F5ED7"/>
    <w:rsid w:val="009F6B13"/>
    <w:rsid w:val="00A213E2"/>
    <w:rsid w:val="00A34245"/>
    <w:rsid w:val="00A35B2E"/>
    <w:rsid w:val="00A42618"/>
    <w:rsid w:val="00A42D88"/>
    <w:rsid w:val="00A5519C"/>
    <w:rsid w:val="00A57F9E"/>
    <w:rsid w:val="00A676CE"/>
    <w:rsid w:val="00A71BBA"/>
    <w:rsid w:val="00A71EF5"/>
    <w:rsid w:val="00A736EA"/>
    <w:rsid w:val="00A80AB4"/>
    <w:rsid w:val="00A93CCE"/>
    <w:rsid w:val="00A963D7"/>
    <w:rsid w:val="00AC6A4D"/>
    <w:rsid w:val="00AD67DF"/>
    <w:rsid w:val="00AD765A"/>
    <w:rsid w:val="00AE1415"/>
    <w:rsid w:val="00AE2791"/>
    <w:rsid w:val="00AE6E50"/>
    <w:rsid w:val="00B0795C"/>
    <w:rsid w:val="00B110DD"/>
    <w:rsid w:val="00B16704"/>
    <w:rsid w:val="00B2694C"/>
    <w:rsid w:val="00B358E5"/>
    <w:rsid w:val="00B42086"/>
    <w:rsid w:val="00B45100"/>
    <w:rsid w:val="00B501C5"/>
    <w:rsid w:val="00B6057B"/>
    <w:rsid w:val="00B65941"/>
    <w:rsid w:val="00B67786"/>
    <w:rsid w:val="00B73115"/>
    <w:rsid w:val="00B92C45"/>
    <w:rsid w:val="00B931E7"/>
    <w:rsid w:val="00BA36DE"/>
    <w:rsid w:val="00BA6143"/>
    <w:rsid w:val="00BC3A60"/>
    <w:rsid w:val="00BC5011"/>
    <w:rsid w:val="00BD10CE"/>
    <w:rsid w:val="00BD47CF"/>
    <w:rsid w:val="00BE3184"/>
    <w:rsid w:val="00BE3894"/>
    <w:rsid w:val="00BF0677"/>
    <w:rsid w:val="00BF3F8E"/>
    <w:rsid w:val="00BF7C6E"/>
    <w:rsid w:val="00C004A2"/>
    <w:rsid w:val="00C064CF"/>
    <w:rsid w:val="00C071AE"/>
    <w:rsid w:val="00C16D85"/>
    <w:rsid w:val="00C21912"/>
    <w:rsid w:val="00C21D18"/>
    <w:rsid w:val="00C3670E"/>
    <w:rsid w:val="00C4079D"/>
    <w:rsid w:val="00C5141B"/>
    <w:rsid w:val="00C54DED"/>
    <w:rsid w:val="00C64E2E"/>
    <w:rsid w:val="00C851FF"/>
    <w:rsid w:val="00C87FC0"/>
    <w:rsid w:val="00C92670"/>
    <w:rsid w:val="00C952B7"/>
    <w:rsid w:val="00CA71AF"/>
    <w:rsid w:val="00CA7D2D"/>
    <w:rsid w:val="00CB1657"/>
    <w:rsid w:val="00CB2656"/>
    <w:rsid w:val="00CB66C5"/>
    <w:rsid w:val="00CD2959"/>
    <w:rsid w:val="00CE340F"/>
    <w:rsid w:val="00CE6E6B"/>
    <w:rsid w:val="00CF0F4A"/>
    <w:rsid w:val="00CF3592"/>
    <w:rsid w:val="00CF76B2"/>
    <w:rsid w:val="00D0765E"/>
    <w:rsid w:val="00D21547"/>
    <w:rsid w:val="00D22B57"/>
    <w:rsid w:val="00D2543F"/>
    <w:rsid w:val="00D25913"/>
    <w:rsid w:val="00D32CBA"/>
    <w:rsid w:val="00D359C3"/>
    <w:rsid w:val="00D36834"/>
    <w:rsid w:val="00D42390"/>
    <w:rsid w:val="00D538F1"/>
    <w:rsid w:val="00D66A7F"/>
    <w:rsid w:val="00D80F05"/>
    <w:rsid w:val="00D8108E"/>
    <w:rsid w:val="00D866AB"/>
    <w:rsid w:val="00D87F63"/>
    <w:rsid w:val="00D96409"/>
    <w:rsid w:val="00DA3E93"/>
    <w:rsid w:val="00DA7098"/>
    <w:rsid w:val="00DB1C4C"/>
    <w:rsid w:val="00DB33A3"/>
    <w:rsid w:val="00DC4DBA"/>
    <w:rsid w:val="00DC58F0"/>
    <w:rsid w:val="00DC7B32"/>
    <w:rsid w:val="00DD0335"/>
    <w:rsid w:val="00DD38F1"/>
    <w:rsid w:val="00DD3E95"/>
    <w:rsid w:val="00DD442D"/>
    <w:rsid w:val="00DD4E1A"/>
    <w:rsid w:val="00DD5AD2"/>
    <w:rsid w:val="00DD6684"/>
    <w:rsid w:val="00DF4102"/>
    <w:rsid w:val="00DF74A4"/>
    <w:rsid w:val="00E01636"/>
    <w:rsid w:val="00E03B87"/>
    <w:rsid w:val="00E04A4E"/>
    <w:rsid w:val="00E0598D"/>
    <w:rsid w:val="00E17152"/>
    <w:rsid w:val="00E21F88"/>
    <w:rsid w:val="00E22745"/>
    <w:rsid w:val="00E30064"/>
    <w:rsid w:val="00E3645F"/>
    <w:rsid w:val="00E403FA"/>
    <w:rsid w:val="00E5084E"/>
    <w:rsid w:val="00E51F2D"/>
    <w:rsid w:val="00E55E3C"/>
    <w:rsid w:val="00E566F8"/>
    <w:rsid w:val="00E57B0D"/>
    <w:rsid w:val="00E66E64"/>
    <w:rsid w:val="00E73067"/>
    <w:rsid w:val="00E73656"/>
    <w:rsid w:val="00E770C2"/>
    <w:rsid w:val="00E776C4"/>
    <w:rsid w:val="00E85D6C"/>
    <w:rsid w:val="00EA3342"/>
    <w:rsid w:val="00EA413A"/>
    <w:rsid w:val="00EB3609"/>
    <w:rsid w:val="00EC12A6"/>
    <w:rsid w:val="00EC18C8"/>
    <w:rsid w:val="00EC2615"/>
    <w:rsid w:val="00EC52F2"/>
    <w:rsid w:val="00EC5441"/>
    <w:rsid w:val="00EC7E57"/>
    <w:rsid w:val="00ED301E"/>
    <w:rsid w:val="00ED5742"/>
    <w:rsid w:val="00ED7399"/>
    <w:rsid w:val="00EE26E6"/>
    <w:rsid w:val="00EE75A5"/>
    <w:rsid w:val="00EF5E42"/>
    <w:rsid w:val="00F04A5C"/>
    <w:rsid w:val="00F06ECF"/>
    <w:rsid w:val="00F14CBF"/>
    <w:rsid w:val="00F35027"/>
    <w:rsid w:val="00F352F8"/>
    <w:rsid w:val="00F407E9"/>
    <w:rsid w:val="00F444E3"/>
    <w:rsid w:val="00F47DC6"/>
    <w:rsid w:val="00F81DBC"/>
    <w:rsid w:val="00F90DEF"/>
    <w:rsid w:val="00F92F6F"/>
    <w:rsid w:val="00FA7E8C"/>
    <w:rsid w:val="00FB07B9"/>
    <w:rsid w:val="00FB2E10"/>
    <w:rsid w:val="00FC347C"/>
    <w:rsid w:val="00FC7C66"/>
    <w:rsid w:val="00FD0DF9"/>
    <w:rsid w:val="00FD3A9A"/>
    <w:rsid w:val="00FD5E48"/>
    <w:rsid w:val="00FE336D"/>
    <w:rsid w:val="00FF253C"/>
    <w:rsid w:val="00FF3E50"/>
    <w:rsid w:val="0EBF925A"/>
    <w:rsid w:val="10848B7F"/>
    <w:rsid w:val="171E82B5"/>
    <w:rsid w:val="34B5AD61"/>
    <w:rsid w:val="3D31729A"/>
    <w:rsid w:val="3F448B47"/>
    <w:rsid w:val="4F5CD182"/>
    <w:rsid w:val="6ECDA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187B5"/>
  <w15:docId w15:val="{AF54BE46-8E3C-4A39-903E-3EC4B577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5027"/>
    <w:rPr>
      <w:iCs w:val="0"/>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197EFD"/>
    <w:pPr>
      <w:ind w:left="720"/>
      <w:contextualSpacing/>
    </w:pPr>
  </w:style>
  <w:style w:type="character" w:styleId="Voetnootmarkering">
    <w:name w:val="footnote reference"/>
    <w:rsid w:val="00197EFD"/>
  </w:style>
  <w:style w:type="paragraph" w:styleId="Plattetekst">
    <w:name w:val="Body Text"/>
    <w:basedOn w:val="Standaard"/>
    <w:link w:val="PlattetekstChar"/>
    <w:rsid w:val="00197EFD"/>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autoSpaceDE w:val="0"/>
      <w:autoSpaceDN w:val="0"/>
      <w:adjustRightInd w:val="0"/>
      <w:spacing w:line="264" w:lineRule="auto"/>
    </w:pPr>
    <w:rPr>
      <w:rFonts w:ascii="Times New Roman" w:hAnsi="Times New Roman" w:cs="Times New Roman"/>
      <w:sz w:val="16"/>
      <w:szCs w:val="18"/>
    </w:rPr>
  </w:style>
  <w:style w:type="character" w:customStyle="1" w:styleId="PlattetekstChar">
    <w:name w:val="Platte tekst Char"/>
    <w:basedOn w:val="Standaardalinea-lettertype"/>
    <w:link w:val="Plattetekst"/>
    <w:rsid w:val="00197EFD"/>
    <w:rPr>
      <w:rFonts w:ascii="Times New Roman" w:hAnsi="Times New Roman" w:cs="Times New Roman"/>
      <w:iCs w:val="0"/>
      <w:sz w:val="16"/>
      <w:szCs w:val="18"/>
    </w:rPr>
  </w:style>
  <w:style w:type="paragraph" w:customStyle="1" w:styleId="Niveau3">
    <w:name w:val="Niveau 3"/>
    <w:basedOn w:val="Standaard"/>
    <w:rsid w:val="00197EFD"/>
    <w:pPr>
      <w:spacing w:line="240" w:lineRule="atLeast"/>
      <w:ind w:left="1072" w:hanging="357"/>
    </w:pPr>
    <w:rPr>
      <w:rFonts w:cs="Times New Roman"/>
      <w:spacing w:val="5"/>
      <w:sz w:val="19"/>
      <w:szCs w:val="20"/>
    </w:rPr>
  </w:style>
  <w:style w:type="paragraph" w:styleId="Voetnoottekst">
    <w:name w:val="footnote text"/>
    <w:basedOn w:val="Standaard"/>
    <w:link w:val="VoetnoottekstChar"/>
    <w:rsid w:val="00197EFD"/>
    <w:pPr>
      <w:widowControl w:val="0"/>
      <w:autoSpaceDE w:val="0"/>
      <w:autoSpaceDN w:val="0"/>
      <w:adjustRightInd w:val="0"/>
      <w:spacing w:line="240" w:lineRule="auto"/>
    </w:pPr>
    <w:rPr>
      <w:rFonts w:ascii="Times New Roman" w:hAnsi="Times New Roman" w:cs="Times New Roman"/>
      <w:szCs w:val="20"/>
      <w:lang w:val="en-US"/>
    </w:rPr>
  </w:style>
  <w:style w:type="character" w:customStyle="1" w:styleId="VoetnoottekstChar">
    <w:name w:val="Voetnoottekst Char"/>
    <w:basedOn w:val="Standaardalinea-lettertype"/>
    <w:link w:val="Voetnoottekst"/>
    <w:rsid w:val="00197EFD"/>
    <w:rPr>
      <w:rFonts w:ascii="Times New Roman" w:hAnsi="Times New Roman" w:cs="Times New Roman"/>
      <w:iCs w:val="0"/>
      <w:szCs w:val="20"/>
      <w:lang w:val="en-US"/>
    </w:rPr>
  </w:style>
  <w:style w:type="paragraph" w:styleId="Koptekst">
    <w:name w:val="header"/>
    <w:basedOn w:val="Standaard"/>
    <w:link w:val="KoptekstChar"/>
    <w:uiPriority w:val="99"/>
    <w:rsid w:val="00197E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7EFD"/>
    <w:rPr>
      <w:iCs w:val="0"/>
    </w:rPr>
  </w:style>
  <w:style w:type="paragraph" w:styleId="Voettekst">
    <w:name w:val="footer"/>
    <w:basedOn w:val="Standaard"/>
    <w:link w:val="VoettekstChar"/>
    <w:uiPriority w:val="99"/>
    <w:rsid w:val="00197EF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7EFD"/>
    <w:rPr>
      <w:iCs w:val="0"/>
    </w:rPr>
  </w:style>
  <w:style w:type="paragraph" w:styleId="Ballontekst">
    <w:name w:val="Balloon Text"/>
    <w:basedOn w:val="Standaard"/>
    <w:link w:val="BallontekstChar"/>
    <w:rsid w:val="00197EF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97EFD"/>
    <w:rPr>
      <w:rFonts w:ascii="Tahoma" w:hAnsi="Tahoma" w:cs="Tahoma"/>
      <w:iCs w:val="0"/>
      <w:sz w:val="16"/>
      <w:szCs w:val="16"/>
    </w:rPr>
  </w:style>
  <w:style w:type="character" w:styleId="Hyperlink">
    <w:name w:val="Hyperlink"/>
    <w:basedOn w:val="Standaardalinea-lettertype"/>
    <w:rsid w:val="00874645"/>
    <w:rPr>
      <w:color w:val="0000FF" w:themeColor="hyperlink"/>
      <w:u w:val="single"/>
    </w:rPr>
  </w:style>
  <w:style w:type="character" w:styleId="GevolgdeHyperlink">
    <w:name w:val="FollowedHyperlink"/>
    <w:basedOn w:val="Standaardalinea-lettertype"/>
    <w:rsid w:val="006F714E"/>
    <w:rPr>
      <w:color w:val="800080" w:themeColor="followedHyperlink"/>
      <w:u w:val="single"/>
    </w:rPr>
  </w:style>
  <w:style w:type="character" w:styleId="Verwijzingopmerking">
    <w:name w:val="annotation reference"/>
    <w:basedOn w:val="Standaardalinea-lettertype"/>
    <w:rsid w:val="00FC7C66"/>
    <w:rPr>
      <w:sz w:val="16"/>
      <w:szCs w:val="16"/>
    </w:rPr>
  </w:style>
  <w:style w:type="paragraph" w:styleId="Tekstopmerking">
    <w:name w:val="annotation text"/>
    <w:basedOn w:val="Standaard"/>
    <w:link w:val="TekstopmerkingChar"/>
    <w:rsid w:val="00FC7C66"/>
    <w:pPr>
      <w:spacing w:line="240" w:lineRule="auto"/>
    </w:pPr>
    <w:rPr>
      <w:szCs w:val="20"/>
    </w:rPr>
  </w:style>
  <w:style w:type="character" w:customStyle="1" w:styleId="TekstopmerkingChar">
    <w:name w:val="Tekst opmerking Char"/>
    <w:basedOn w:val="Standaardalinea-lettertype"/>
    <w:link w:val="Tekstopmerking"/>
    <w:rsid w:val="00FC7C66"/>
    <w:rPr>
      <w:iCs w:val="0"/>
      <w:szCs w:val="20"/>
    </w:rPr>
  </w:style>
  <w:style w:type="paragraph" w:styleId="Onderwerpvanopmerking">
    <w:name w:val="annotation subject"/>
    <w:basedOn w:val="Tekstopmerking"/>
    <w:next w:val="Tekstopmerking"/>
    <w:link w:val="OnderwerpvanopmerkingChar"/>
    <w:rsid w:val="00FC7C66"/>
    <w:rPr>
      <w:b/>
      <w:bCs/>
    </w:rPr>
  </w:style>
  <w:style w:type="character" w:customStyle="1" w:styleId="OnderwerpvanopmerkingChar">
    <w:name w:val="Onderwerp van opmerking Char"/>
    <w:basedOn w:val="TekstopmerkingChar"/>
    <w:link w:val="Onderwerpvanopmerking"/>
    <w:rsid w:val="00FC7C66"/>
    <w:rPr>
      <w:b/>
      <w:bCs/>
      <w:iCs w:val="0"/>
      <w:szCs w:val="20"/>
    </w:rPr>
  </w:style>
  <w:style w:type="table" w:styleId="Tabelraster">
    <w:name w:val="Table Grid"/>
    <w:basedOn w:val="Standaardtabel"/>
    <w:rsid w:val="00CB66C5"/>
    <w:pPr>
      <w:spacing w:line="240" w:lineRule="auto"/>
    </w:pPr>
    <w:rPr>
      <w:i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82755"/>
    <w:rPr>
      <w:color w:val="605E5C"/>
      <w:shd w:val="clear" w:color="auto" w:fill="E1DFDD"/>
    </w:rPr>
  </w:style>
  <w:style w:type="paragraph" w:styleId="Revisie">
    <w:name w:val="Revision"/>
    <w:hidden/>
    <w:uiPriority w:val="99"/>
    <w:semiHidden/>
    <w:rsid w:val="00254517"/>
    <w:pPr>
      <w:spacing w:line="240" w:lineRule="auto"/>
    </w:pPr>
    <w:rPr>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9580">
      <w:bodyDiv w:val="1"/>
      <w:marLeft w:val="0"/>
      <w:marRight w:val="0"/>
      <w:marTop w:val="0"/>
      <w:marBottom w:val="0"/>
      <w:divBdr>
        <w:top w:val="none" w:sz="0" w:space="0" w:color="auto"/>
        <w:left w:val="none" w:sz="0" w:space="0" w:color="auto"/>
        <w:bottom w:val="none" w:sz="0" w:space="0" w:color="auto"/>
        <w:right w:val="none" w:sz="0" w:space="0" w:color="auto"/>
      </w:divBdr>
    </w:div>
    <w:div w:id="342127614">
      <w:bodyDiv w:val="1"/>
      <w:marLeft w:val="0"/>
      <w:marRight w:val="0"/>
      <w:marTop w:val="0"/>
      <w:marBottom w:val="0"/>
      <w:divBdr>
        <w:top w:val="none" w:sz="0" w:space="0" w:color="auto"/>
        <w:left w:val="none" w:sz="0" w:space="0" w:color="auto"/>
        <w:bottom w:val="none" w:sz="0" w:space="0" w:color="auto"/>
        <w:right w:val="none" w:sz="0" w:space="0" w:color="auto"/>
      </w:divBdr>
    </w:div>
    <w:div w:id="388695303">
      <w:bodyDiv w:val="1"/>
      <w:marLeft w:val="0"/>
      <w:marRight w:val="0"/>
      <w:marTop w:val="0"/>
      <w:marBottom w:val="0"/>
      <w:divBdr>
        <w:top w:val="none" w:sz="0" w:space="0" w:color="auto"/>
        <w:left w:val="none" w:sz="0" w:space="0" w:color="auto"/>
        <w:bottom w:val="none" w:sz="0" w:space="0" w:color="auto"/>
        <w:right w:val="none" w:sz="0" w:space="0" w:color="auto"/>
      </w:divBdr>
    </w:div>
    <w:div w:id="893348472">
      <w:bodyDiv w:val="1"/>
      <w:marLeft w:val="0"/>
      <w:marRight w:val="0"/>
      <w:marTop w:val="0"/>
      <w:marBottom w:val="0"/>
      <w:divBdr>
        <w:top w:val="none" w:sz="0" w:space="0" w:color="auto"/>
        <w:left w:val="none" w:sz="0" w:space="0" w:color="auto"/>
        <w:bottom w:val="none" w:sz="0" w:space="0" w:color="auto"/>
        <w:right w:val="none" w:sz="0" w:space="0" w:color="auto"/>
      </w:divBdr>
    </w:div>
    <w:div w:id="1461533643">
      <w:bodyDiv w:val="1"/>
      <w:marLeft w:val="0"/>
      <w:marRight w:val="0"/>
      <w:marTop w:val="0"/>
      <w:marBottom w:val="0"/>
      <w:divBdr>
        <w:top w:val="none" w:sz="0" w:space="0" w:color="auto"/>
        <w:left w:val="none" w:sz="0" w:space="0" w:color="auto"/>
        <w:bottom w:val="none" w:sz="0" w:space="0" w:color="auto"/>
        <w:right w:val="none" w:sz="0" w:space="0" w:color="auto"/>
      </w:divBdr>
    </w:div>
    <w:div w:id="1921867739">
      <w:bodyDiv w:val="1"/>
      <w:marLeft w:val="0"/>
      <w:marRight w:val="0"/>
      <w:marTop w:val="0"/>
      <w:marBottom w:val="0"/>
      <w:divBdr>
        <w:top w:val="none" w:sz="0" w:space="0" w:color="auto"/>
        <w:left w:val="none" w:sz="0" w:space="0" w:color="auto"/>
        <w:bottom w:val="none" w:sz="0" w:space="0" w:color="auto"/>
        <w:right w:val="none" w:sz="0" w:space="0" w:color="auto"/>
      </w:divBdr>
    </w:div>
    <w:div w:id="1927225761">
      <w:bodyDiv w:val="1"/>
      <w:marLeft w:val="0"/>
      <w:marRight w:val="0"/>
      <w:marTop w:val="0"/>
      <w:marBottom w:val="0"/>
      <w:divBdr>
        <w:top w:val="none" w:sz="0" w:space="0" w:color="auto"/>
        <w:left w:val="none" w:sz="0" w:space="0" w:color="auto"/>
        <w:bottom w:val="none" w:sz="0" w:space="0" w:color="auto"/>
        <w:right w:val="none" w:sz="0" w:space="0" w:color="auto"/>
      </w:divBdr>
    </w:div>
    <w:div w:id="19307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10" ma:contentTypeDescription="Een nieuw document maken." ma:contentTypeScope="" ma:versionID="5e3c5bc1652316ca10452602816a6137">
  <xsd:schema xmlns:xsd="http://www.w3.org/2001/XMLSchema" xmlns:xs="http://www.w3.org/2001/XMLSchema" xmlns:p="http://schemas.microsoft.com/office/2006/metadata/properties" xmlns:ns2="87dfae08-d86b-47c6-976a-3de4263cac44" xmlns:ns3="9eb9adb3-eb71-4a81-b1ec-18f1d07513a5" targetNamespace="http://schemas.microsoft.com/office/2006/metadata/properties" ma:root="true" ma:fieldsID="1cb98546e2cf23ad71013f090bec7958" ns2:_="" ns3:_="">
    <xsd:import namespace="87dfae08-d86b-47c6-976a-3de4263cac44"/>
    <xsd:import namespace="9eb9adb3-eb71-4a81-b1ec-18f1d0751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9adb3-eb71-4a81-b1ec-18f1d07513a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62ACC-7333-4238-834F-831C90A1C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018F9B-B506-498C-832D-94B87D26AE2F}">
  <ds:schemaRefs>
    <ds:schemaRef ds:uri="http://schemas.openxmlformats.org/officeDocument/2006/bibliography"/>
  </ds:schemaRefs>
</ds:datastoreItem>
</file>

<file path=customXml/itemProps3.xml><?xml version="1.0" encoding="utf-8"?>
<ds:datastoreItem xmlns:ds="http://schemas.openxmlformats.org/officeDocument/2006/customXml" ds:itemID="{1BE43746-AB7B-4CA6-8623-9F9876AD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9eb9adb3-eb71-4a81-b1ec-18f1d0751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6E484-DD17-434C-A190-96A49AB61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5625</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Kwijtscheldingsnormen per 01-01-2018</vt:lpstr>
    </vt:vector>
  </TitlesOfParts>
  <Company>Vereniging van Nederlandse Gemeenten</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Kwijtscheldingsnormen per 01-01-2018</dc:title>
  <dc:subject/>
  <dc:creator>heijs_r</dc:creator>
  <cp:keywords>kwijtschelding; kwijtscheldingsnormen</cp:keywords>
  <cp:lastModifiedBy>Marlies van Randwijk</cp:lastModifiedBy>
  <cp:revision>2</cp:revision>
  <cp:lastPrinted>2014-01-06T12:56:00Z</cp:lastPrinted>
  <dcterms:created xsi:type="dcterms:W3CDTF">2025-01-06T12:12:00Z</dcterms:created>
  <dcterms:modified xsi:type="dcterms:W3CDTF">2025-01-06T12:12:00Z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0x010100B99F5B1A1149EC43BD3D02E4662B264F</vt:lpwstr>
  </property>
  <property fmtid="{D5CDD505-2E9C-101B-9397-08002B2CF9AE}" pid="3" name="_dlc_DocIdItemGuid">
    <vt:lpwstr>c918f0bf-94af-4e13-8e70-49c592c66562</vt:lpwstr>
  </property>
  <property fmtid="{D5CDD505-2E9C-101B-9397-08002B2CF9AE}" pid="4" name="TaxKeyword">
    <vt:lpwstr>140;#kwijtscheldingsnormen|cd2f54d1-946f-4c0c-8b26-1ce05def572b;#135;#kwijtschelding|717f234c-165d-4cb5-8e26-e3ac1a2b2bbe</vt:lpwstr>
  </property>
</Properties>
</file>