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35204" w14:textId="7894C5FB" w:rsidR="005C7FC1" w:rsidRPr="005C7FC1" w:rsidRDefault="005C7FC1" w:rsidP="005C7FC1">
      <w:pPr>
        <w:pStyle w:val="Titel"/>
        <w:rPr>
          <w:sz w:val="34"/>
          <w:szCs w:val="18"/>
        </w:rPr>
      </w:pPr>
      <w:r w:rsidRPr="005C7FC1">
        <w:rPr>
          <w:sz w:val="34"/>
          <w:szCs w:val="18"/>
        </w:rPr>
        <w:t>Format Bestuurlijke Opdracht regionaal afgestemde woonzorgvisie</w:t>
      </w:r>
    </w:p>
    <w:p w14:paraId="7C7404A3" w14:textId="100F5A85" w:rsidR="005C7FC1" w:rsidRPr="005C7FC1" w:rsidRDefault="005C7FC1" w:rsidP="005C7FC1">
      <w:pPr>
        <w:pStyle w:val="Ondertitel"/>
        <w:rPr>
          <w:sz w:val="22"/>
          <w:szCs w:val="20"/>
        </w:rPr>
      </w:pPr>
      <w:r w:rsidRPr="005C7FC1">
        <w:rPr>
          <w:sz w:val="22"/>
          <w:szCs w:val="20"/>
        </w:rPr>
        <w:t>Versie juni 2024</w:t>
      </w:r>
    </w:p>
    <w:p w14:paraId="55074FC5" w14:textId="77777777" w:rsidR="005C7FC1" w:rsidRDefault="005C7FC1" w:rsidP="005C7FC1">
      <w:pPr>
        <w:pBdr>
          <w:bottom w:val="single" w:sz="6" w:space="1" w:color="auto"/>
        </w:pBdr>
      </w:pPr>
    </w:p>
    <w:p w14:paraId="38A9B838" w14:textId="66949544" w:rsidR="005C7FC1" w:rsidRDefault="005C7FC1" w:rsidP="005C7FC1">
      <w:pPr>
        <w:ind w:left="1418" w:hanging="1418"/>
      </w:pPr>
      <w:r>
        <w:t>Aan:</w:t>
      </w:r>
      <w:r>
        <w:tab/>
        <w:t xml:space="preserve">&lt;regionaal PHO Bouwen en Wonen, regionaal PHO Sociaal, regionaal bestuurlijk overleg corporaties - gemeenten, regionaal bestuurlijk overleg zorg/welzijnsorganisaties </w:t>
      </w:r>
      <w:r>
        <w:rPr>
          <w:rFonts w:hint="cs"/>
        </w:rPr>
        <w:t>–</w:t>
      </w:r>
      <w:r>
        <w:t xml:space="preserve"> gemeenten, enz.&gt;</w:t>
      </w:r>
    </w:p>
    <w:p w14:paraId="620D0925" w14:textId="77777777" w:rsidR="005C7FC1" w:rsidRDefault="005C7FC1" w:rsidP="005C7FC1">
      <w:pPr>
        <w:ind w:left="1418" w:hanging="1418"/>
      </w:pPr>
      <w:r>
        <w:t>Datum</w:t>
      </w:r>
      <w:r>
        <w:tab/>
      </w:r>
      <w:r>
        <w:rPr>
          <w:rFonts w:hint="cs"/>
        </w:rPr>
        <w:t>…</w:t>
      </w:r>
    </w:p>
    <w:p w14:paraId="51E45DCA" w14:textId="77777777" w:rsidR="005C7FC1" w:rsidRDefault="005C7FC1" w:rsidP="005C7FC1"/>
    <w:p w14:paraId="2924B140" w14:textId="77777777" w:rsidR="005C7FC1" w:rsidRDefault="005C7FC1" w:rsidP="005C7FC1">
      <w:pPr>
        <w:ind w:left="1418" w:hanging="1418"/>
      </w:pPr>
      <w:r>
        <w:t>Agendapunt</w:t>
      </w:r>
      <w:r>
        <w:tab/>
      </w:r>
      <w:r>
        <w:rPr>
          <w:rFonts w:hint="cs"/>
        </w:rPr>
        <w:t>…</w:t>
      </w:r>
    </w:p>
    <w:p w14:paraId="7FB0B1CC" w14:textId="77777777" w:rsidR="005C7FC1" w:rsidRDefault="005C7FC1" w:rsidP="005C7FC1">
      <w:pPr>
        <w:ind w:left="1418" w:hanging="1418"/>
      </w:pPr>
      <w:r>
        <w:t>Onderwerp</w:t>
      </w:r>
      <w:r>
        <w:tab/>
        <w:t xml:space="preserve">Bestuurlijke opdracht voor totstandkoming regionaal afgestemde woonzorgvisie </w:t>
      </w:r>
    </w:p>
    <w:p w14:paraId="38A1DF3D" w14:textId="07B19F04" w:rsidR="005C7FC1" w:rsidRDefault="005C7FC1" w:rsidP="005C7FC1">
      <w:pPr>
        <w:ind w:left="1418" w:hanging="1418"/>
      </w:pPr>
      <w:r>
        <w:t>Bijlage(n)</w:t>
      </w:r>
      <w:r>
        <w:tab/>
        <w:t>1.</w:t>
      </w:r>
      <w:r>
        <w:tab/>
        <w:t xml:space="preserve">Wettekst Versterking regie op de volkshuisvesting: </w:t>
      </w:r>
      <w:r w:rsidR="002319C0" w:rsidRPr="002319C0">
        <w:rPr>
          <w:i/>
          <w:iCs/>
        </w:rPr>
        <w:t>&lt;</w:t>
      </w:r>
      <w:r w:rsidR="002319C0" w:rsidRPr="002319C0">
        <w:rPr>
          <w:i/>
          <w:iCs/>
        </w:rPr>
        <w:t>link naar de definitieve wettekst – deze volgt zodra</w:t>
      </w:r>
      <w:r w:rsidR="002319C0">
        <w:rPr>
          <w:i/>
          <w:iCs/>
        </w:rPr>
        <w:t xml:space="preserve"> de</w:t>
      </w:r>
      <w:r w:rsidR="002319C0" w:rsidRPr="002319C0">
        <w:rPr>
          <w:i/>
          <w:iCs/>
        </w:rPr>
        <w:t xml:space="preserve"> wet definitief is vastgesteld</w:t>
      </w:r>
      <w:r w:rsidR="002319C0" w:rsidRPr="002319C0">
        <w:rPr>
          <w:i/>
          <w:iCs/>
        </w:rPr>
        <w:t>&gt;</w:t>
      </w:r>
    </w:p>
    <w:p w14:paraId="34FDF204" w14:textId="45347DA3" w:rsidR="005C7FC1" w:rsidRDefault="005C7FC1" w:rsidP="005C7FC1">
      <w:pPr>
        <w:ind w:left="2127" w:hanging="709"/>
      </w:pPr>
      <w:r>
        <w:t>2.</w:t>
      </w:r>
      <w:r>
        <w:tab/>
        <w:t xml:space="preserve">Handreiking voor het opstellen van een woonzorgvisie in het volkshuisvestingsprogramma: </w:t>
      </w:r>
      <w:hyperlink r:id="rId5" w:history="1">
        <w:r w:rsidRPr="00334C41">
          <w:rPr>
            <w:rStyle w:val="Hyperlink"/>
          </w:rPr>
          <w:t>https://www.volkshuisvestingnederland.nl/onderwerpen/online-kennis-en-expertisecentrum/documenten/publicaties/2024/03/08/handreiking-wonen-en-zorg-in-het-volkshuisvestingsprogramma</w:t>
        </w:r>
      </w:hyperlink>
    </w:p>
    <w:p w14:paraId="1AA3EE73" w14:textId="77777777" w:rsidR="005C7FC1" w:rsidRDefault="005C7FC1" w:rsidP="005C7FC1">
      <w:pPr>
        <w:pBdr>
          <w:bottom w:val="single" w:sz="6" w:space="1" w:color="auto"/>
        </w:pBdr>
      </w:pPr>
    </w:p>
    <w:p w14:paraId="0F4C980D" w14:textId="77777777" w:rsidR="005C7FC1" w:rsidRDefault="005C7FC1" w:rsidP="005C7FC1"/>
    <w:p w14:paraId="0871DDE7" w14:textId="77777777" w:rsidR="005C7FC1" w:rsidRPr="005C7FC1" w:rsidRDefault="005C7FC1" w:rsidP="005C7FC1">
      <w:pPr>
        <w:rPr>
          <w:b/>
          <w:bCs/>
        </w:rPr>
      </w:pPr>
      <w:r w:rsidRPr="005C7FC1">
        <w:rPr>
          <w:b/>
          <w:bCs/>
        </w:rPr>
        <w:t>Gevraagde beslissing</w:t>
      </w:r>
    </w:p>
    <w:p w14:paraId="163B025B" w14:textId="6BD3DFDA" w:rsidR="005C7FC1" w:rsidRDefault="005C7FC1" w:rsidP="005C7FC1">
      <w:pPr>
        <w:pStyle w:val="Lijstalinea"/>
        <w:numPr>
          <w:ilvl w:val="0"/>
          <w:numId w:val="1"/>
        </w:numPr>
      </w:pPr>
      <w:r>
        <w:t>Kennis te nemen van de &lt;aankomende&gt; wettelijke verplichting om een gemeentelijk volkshuisvesting</w:t>
      </w:r>
      <w:r w:rsidR="0082208A">
        <w:t xml:space="preserve">sprogramma </w:t>
      </w:r>
      <w:r>
        <w:t>op te stellen, en hierin een in de woningbouwregio af te stemmen woon- en zorgopgave voor aandachtsgroepen en ouderen op te nemen.</w:t>
      </w:r>
    </w:p>
    <w:p w14:paraId="70D629C8" w14:textId="1CEB57CA" w:rsidR="005C7FC1" w:rsidRDefault="005C7FC1" w:rsidP="005C7FC1">
      <w:pPr>
        <w:pStyle w:val="Lijstalinea"/>
        <w:numPr>
          <w:ilvl w:val="0"/>
          <w:numId w:val="1"/>
        </w:numPr>
      </w:pPr>
      <w:r>
        <w:t>In te stemmen met het formeren van een woningbouwregio onder co</w:t>
      </w:r>
      <w:r>
        <w:rPr>
          <w:rFonts w:hint="cs"/>
        </w:rPr>
        <w:t>ö</w:t>
      </w:r>
      <w:r>
        <w:t xml:space="preserve">rdinatie van de provincie. De woningbouwregio bestaat uit de volgende gemeenten: </w:t>
      </w:r>
      <w:r>
        <w:rPr>
          <w:rFonts w:hint="cs"/>
        </w:rPr>
        <w:t>…</w:t>
      </w:r>
      <w:r>
        <w:t xml:space="preserve">, </w:t>
      </w:r>
      <w:r>
        <w:rPr>
          <w:rFonts w:hint="cs"/>
        </w:rPr>
        <w:t>…</w:t>
      </w:r>
      <w:r>
        <w:t xml:space="preserve">, </w:t>
      </w:r>
      <w:r>
        <w:rPr>
          <w:rFonts w:hint="cs"/>
        </w:rPr>
        <w:t>…</w:t>
      </w:r>
      <w:r>
        <w:t xml:space="preserve">, </w:t>
      </w:r>
      <w:r>
        <w:rPr>
          <w:rFonts w:hint="cs"/>
        </w:rPr>
        <w:t>…</w:t>
      </w:r>
    </w:p>
    <w:p w14:paraId="630DDDDB" w14:textId="26C54610" w:rsidR="005C7FC1" w:rsidRDefault="005C7FC1" w:rsidP="005C7FC1">
      <w:pPr>
        <w:pStyle w:val="Lijstalinea"/>
        <w:numPr>
          <w:ilvl w:val="0"/>
          <w:numId w:val="1"/>
        </w:numPr>
      </w:pPr>
      <w:r>
        <w:t>Opdracht te geven om in een overzichtelijke kwantitatieve rapportage:</w:t>
      </w:r>
    </w:p>
    <w:p w14:paraId="260512AC" w14:textId="160CD726" w:rsidR="005C7FC1" w:rsidRDefault="005C7FC1" w:rsidP="005C7FC1">
      <w:pPr>
        <w:pStyle w:val="Lijstalinea"/>
        <w:numPr>
          <w:ilvl w:val="1"/>
          <w:numId w:val="1"/>
        </w:numPr>
      </w:pPr>
      <w:r>
        <w:t>de woon- en zorgopgave van aandachtsgroepen en ouderen binnen de woningbouwregio inzichtelijk te maken,</w:t>
      </w:r>
    </w:p>
    <w:p w14:paraId="2BAA0A7B" w14:textId="7E87AF02" w:rsidR="005C7FC1" w:rsidRDefault="005C7FC1" w:rsidP="005C7FC1">
      <w:pPr>
        <w:pStyle w:val="Lijstalinea"/>
        <w:numPr>
          <w:ilvl w:val="1"/>
          <w:numId w:val="1"/>
        </w:numPr>
      </w:pPr>
      <w:r>
        <w:t>te analyseren in hoeverre de bestaande woningvoorraad en ondersteuning/zorg toereikend zijn;</w:t>
      </w:r>
    </w:p>
    <w:p w14:paraId="3560DACA" w14:textId="0B6E3A46" w:rsidR="005C7FC1" w:rsidRDefault="005C7FC1" w:rsidP="005C7FC1">
      <w:pPr>
        <w:pStyle w:val="Lijstalinea"/>
        <w:numPr>
          <w:ilvl w:val="1"/>
          <w:numId w:val="1"/>
        </w:numPr>
      </w:pPr>
      <w:r>
        <w:t>te analyseren in hoeverre uitbreiding of verandering van de woningvoorraad en ondersteuning/zorg noodzakelijk is;</w:t>
      </w:r>
    </w:p>
    <w:p w14:paraId="32202634" w14:textId="7D7CEC4F" w:rsidR="005C7FC1" w:rsidRDefault="005C7FC1" w:rsidP="005C7FC1">
      <w:pPr>
        <w:pStyle w:val="Lijstalinea"/>
        <w:numPr>
          <w:ilvl w:val="0"/>
          <w:numId w:val="1"/>
        </w:numPr>
      </w:pPr>
      <w:r>
        <w:t>Opdracht te geven om:</w:t>
      </w:r>
    </w:p>
    <w:p w14:paraId="5FB64382" w14:textId="657AC68E" w:rsidR="005C7FC1" w:rsidRDefault="005C7FC1" w:rsidP="005C7FC1">
      <w:pPr>
        <w:pStyle w:val="Lijstalinea"/>
        <w:numPr>
          <w:ilvl w:val="1"/>
          <w:numId w:val="1"/>
        </w:numPr>
      </w:pPr>
      <w:r>
        <w:t>bestuurlijke afspraken binnen de woningbouwregio eind 2025 voor te bereiden over de uitbreiding of verandering van de woningvoorraad en ondersteuning/zorg, en de verdeling daarvan over de gemeenten binnen de woningbouwregio;</w:t>
      </w:r>
    </w:p>
    <w:p w14:paraId="6E48C10B" w14:textId="02967B30" w:rsidR="005C7FC1" w:rsidRDefault="005C7FC1" w:rsidP="005C7FC1">
      <w:pPr>
        <w:pStyle w:val="Lijstalinea"/>
        <w:numPr>
          <w:ilvl w:val="1"/>
          <w:numId w:val="1"/>
        </w:numPr>
      </w:pPr>
      <w:r>
        <w:t>een stuurgroep op bestuurlijk niveau in te richten waarin ten</w:t>
      </w:r>
      <w:r w:rsidR="0082208A">
        <w:t xml:space="preserve"> </w:t>
      </w:r>
      <w:r>
        <w:t>minste de volgende partijen deelnemen:</w:t>
      </w:r>
    </w:p>
    <w:p w14:paraId="7822B5A2" w14:textId="407D46E4" w:rsidR="005C7FC1" w:rsidRDefault="005C7FC1" w:rsidP="005C7FC1">
      <w:pPr>
        <w:pStyle w:val="Lijstalinea"/>
        <w:numPr>
          <w:ilvl w:val="2"/>
          <w:numId w:val="1"/>
        </w:numPr>
      </w:pPr>
      <w:r>
        <w:t xml:space="preserve">Provincie </w:t>
      </w:r>
      <w:r>
        <w:rPr>
          <w:rFonts w:hint="cs"/>
        </w:rPr>
        <w:t>…</w:t>
      </w:r>
    </w:p>
    <w:p w14:paraId="669F04C1" w14:textId="723DF866" w:rsidR="005C7FC1" w:rsidRDefault="005C7FC1" w:rsidP="005C7FC1">
      <w:pPr>
        <w:pStyle w:val="Lijstalinea"/>
        <w:numPr>
          <w:ilvl w:val="2"/>
          <w:numId w:val="1"/>
        </w:numPr>
      </w:pPr>
      <w:r>
        <w:t xml:space="preserve">Gemeenten </w:t>
      </w:r>
      <w:r>
        <w:rPr>
          <w:rFonts w:hint="cs"/>
        </w:rPr>
        <w:t>…</w:t>
      </w:r>
      <w:r>
        <w:t xml:space="preserve">, </w:t>
      </w:r>
      <w:r>
        <w:rPr>
          <w:rFonts w:hint="cs"/>
        </w:rPr>
        <w:t>…</w:t>
      </w:r>
      <w:r>
        <w:t xml:space="preserve">, </w:t>
      </w:r>
      <w:r>
        <w:rPr>
          <w:rFonts w:hint="cs"/>
        </w:rPr>
        <w:t>…</w:t>
      </w:r>
      <w:r>
        <w:t xml:space="preserve">, </w:t>
      </w:r>
      <w:r>
        <w:rPr>
          <w:rFonts w:hint="cs"/>
        </w:rPr>
        <w:t>…</w:t>
      </w:r>
      <w:r>
        <w:t>.</w:t>
      </w:r>
    </w:p>
    <w:p w14:paraId="7D865885" w14:textId="7F123A8A" w:rsidR="005C7FC1" w:rsidRDefault="005C7FC1" w:rsidP="005C7FC1">
      <w:pPr>
        <w:pStyle w:val="Lijstalinea"/>
        <w:numPr>
          <w:ilvl w:val="2"/>
          <w:numId w:val="1"/>
        </w:numPr>
      </w:pPr>
      <w:r>
        <w:lastRenderedPageBreak/>
        <w:t xml:space="preserve">Corporaties </w:t>
      </w:r>
      <w:r>
        <w:rPr>
          <w:rFonts w:hint="cs"/>
        </w:rPr>
        <w:t>…</w:t>
      </w:r>
      <w:r>
        <w:t xml:space="preserve">, </w:t>
      </w:r>
      <w:r>
        <w:rPr>
          <w:rFonts w:hint="cs"/>
        </w:rPr>
        <w:t>…</w:t>
      </w:r>
      <w:r>
        <w:t xml:space="preserve">, </w:t>
      </w:r>
      <w:r>
        <w:rPr>
          <w:rFonts w:hint="cs"/>
        </w:rPr>
        <w:t>…</w:t>
      </w:r>
      <w:r>
        <w:t xml:space="preserve">, </w:t>
      </w:r>
      <w:r>
        <w:rPr>
          <w:rFonts w:hint="cs"/>
        </w:rPr>
        <w:t>…</w:t>
      </w:r>
      <w:r>
        <w:t>.</w:t>
      </w:r>
    </w:p>
    <w:p w14:paraId="25FEE28D" w14:textId="620086B9" w:rsidR="005C7FC1" w:rsidRDefault="005C7FC1" w:rsidP="005C7FC1">
      <w:pPr>
        <w:pStyle w:val="Lijstalinea"/>
        <w:numPr>
          <w:ilvl w:val="2"/>
          <w:numId w:val="1"/>
        </w:numPr>
      </w:pPr>
      <w:r>
        <w:t>Een vertegenwoordiging van zorg- en welzijnsaanbieders, met als randvoorwaarde dat afstemming met andere zorg- en welzijnsaanbieders plaatsvindt</w:t>
      </w:r>
      <w:r w:rsidR="0082208A">
        <w:t>.</w:t>
      </w:r>
    </w:p>
    <w:p w14:paraId="3E45F4FE" w14:textId="493D6071" w:rsidR="005C7FC1" w:rsidRDefault="005C7FC1" w:rsidP="005C7FC1">
      <w:pPr>
        <w:pStyle w:val="Lijstalinea"/>
        <w:numPr>
          <w:ilvl w:val="2"/>
          <w:numId w:val="1"/>
        </w:numPr>
      </w:pPr>
      <w:r>
        <w:t>Een vertegenwoordiging van huurders- en cli</w:t>
      </w:r>
      <w:r>
        <w:rPr>
          <w:rFonts w:hint="cs"/>
        </w:rPr>
        <w:t>ë</w:t>
      </w:r>
      <w:r>
        <w:t>ntenorganisaties, met als randvoorwaarde dat afstemming met andere huurders- en cli</w:t>
      </w:r>
      <w:r>
        <w:rPr>
          <w:rFonts w:hint="cs"/>
        </w:rPr>
        <w:t>ë</w:t>
      </w:r>
      <w:r>
        <w:t>ntenorganisaties plaatsvindt</w:t>
      </w:r>
      <w:r w:rsidR="0082208A">
        <w:t>.</w:t>
      </w:r>
    </w:p>
    <w:p w14:paraId="1CD48FD7" w14:textId="52A9BBD9" w:rsidR="005C7FC1" w:rsidRDefault="005C7FC1" w:rsidP="005C7FC1">
      <w:pPr>
        <w:pStyle w:val="Lijstalinea"/>
        <w:numPr>
          <w:ilvl w:val="2"/>
          <w:numId w:val="1"/>
        </w:numPr>
      </w:pPr>
      <w:r>
        <w:t>Een vertegenwoordiging van werkgevers die gebruik maken van arbeidsmigranten</w:t>
      </w:r>
      <w:r w:rsidR="0082208A">
        <w:t>.</w:t>
      </w:r>
    </w:p>
    <w:p w14:paraId="219EDD3C" w14:textId="2C56AE1A" w:rsidR="005C7FC1" w:rsidRDefault="005C7FC1" w:rsidP="005C7FC1">
      <w:pPr>
        <w:pStyle w:val="Lijstalinea"/>
        <w:numPr>
          <w:ilvl w:val="1"/>
          <w:numId w:val="1"/>
        </w:numPr>
      </w:pPr>
      <w:r>
        <w:t>een projectstructuur in te richten met bovengenoemde partijen waarin besluitvorming door de stuurgroep wordt voorbereid en uitgevoerd;</w:t>
      </w:r>
    </w:p>
    <w:p w14:paraId="669A0E20" w14:textId="36A1CE0C" w:rsidR="005C7FC1" w:rsidRDefault="005C7FC1" w:rsidP="005C7FC1">
      <w:pPr>
        <w:pStyle w:val="Lijstalinea"/>
        <w:numPr>
          <w:ilvl w:val="1"/>
          <w:numId w:val="1"/>
        </w:numPr>
      </w:pPr>
      <w:r>
        <w:t xml:space="preserve">deze projectstructuur opdracht te geven om binnen twee maanden een regionaal plan van aanpak op te stellen met daarin de elementen </w:t>
      </w:r>
      <w:r w:rsidR="009A4525">
        <w:t>genoemd onder beslispunten 3 en 4.</w:t>
      </w:r>
    </w:p>
    <w:p w14:paraId="3F1CDED5" w14:textId="71C1305E" w:rsidR="005C7FC1" w:rsidRDefault="005C7FC1" w:rsidP="005C7FC1">
      <w:pPr>
        <w:pStyle w:val="Lijstalinea"/>
        <w:numPr>
          <w:ilvl w:val="0"/>
          <w:numId w:val="1"/>
        </w:numPr>
      </w:pPr>
      <w:r>
        <w:t>Aan te geven welke bestuurders vanuit &lt;uw gremium&gt; zitting nemen in bovengenoemde bestuurlijke stuurgroep.</w:t>
      </w:r>
    </w:p>
    <w:p w14:paraId="519D58DC" w14:textId="4B5E718F" w:rsidR="005C7FC1" w:rsidRDefault="00AC0CB8" w:rsidP="005C7FC1">
      <w:pPr>
        <w:pStyle w:val="Lijstalinea"/>
        <w:numPr>
          <w:ilvl w:val="0"/>
          <w:numId w:val="1"/>
        </w:numPr>
      </w:pPr>
      <w:r>
        <w:t xml:space="preserve">In te stemmen met </w:t>
      </w:r>
      <w:r w:rsidR="005C7FC1">
        <w:t xml:space="preserve">het </w:t>
      </w:r>
      <w:r w:rsidR="00D33F4F">
        <w:t>uitgangspunt</w:t>
      </w:r>
      <w:r w:rsidR="005C7FC1">
        <w:t xml:space="preserve"> dat de bestuurlijke afspraken van de stuurgroep over de woon- en zorgopgave in 2026 zullen worden opgenomen in gemeentelijke volkshuisvestingsprogramma</w:t>
      </w:r>
      <w:r w:rsidR="005C7FC1">
        <w:rPr>
          <w:rFonts w:hint="cs"/>
        </w:rPr>
        <w:t>’</w:t>
      </w:r>
      <w:r w:rsidR="005C7FC1">
        <w:t>s die moeten worden bekrachtigd door de afzonderlijke colleges van Burgemeester en Wethouders binnen de woningbouwregio, en kennis te nemen van de ondersteunende en toezichthoudende rol van de provincie hierbij.</w:t>
      </w:r>
    </w:p>
    <w:p w14:paraId="1C66D4B4" w14:textId="615F16E3" w:rsidR="005C7FC1" w:rsidRDefault="00AC0CB8" w:rsidP="005C7FC1">
      <w:pPr>
        <w:pStyle w:val="Lijstalinea"/>
        <w:numPr>
          <w:ilvl w:val="0"/>
          <w:numId w:val="1"/>
        </w:numPr>
      </w:pPr>
      <w:r>
        <w:t>In te stemmen met</w:t>
      </w:r>
      <w:r w:rsidR="005C7FC1">
        <w:t xml:space="preserve"> het </w:t>
      </w:r>
      <w:r w:rsidR="006C21F1">
        <w:t>uitgangspunt</w:t>
      </w:r>
      <w:r w:rsidR="005C7FC1">
        <w:t xml:space="preserve"> dat de vastgestelde additionele woon- en zorgopgave </w:t>
      </w:r>
      <w:r w:rsidR="0079797E">
        <w:t>na</w:t>
      </w:r>
      <w:r w:rsidR="005C7FC1">
        <w:t xml:space="preserve"> 2026 zal leiden tot een actualisatie van de woondeal voor regio </w:t>
      </w:r>
      <w:r w:rsidR="005C7FC1">
        <w:rPr>
          <w:rFonts w:hint="cs"/>
        </w:rPr>
        <w:t>…</w:t>
      </w:r>
      <w:r w:rsidR="005C7FC1">
        <w:t xml:space="preserve">, tot een actualisatie van het </w:t>
      </w:r>
      <w:proofErr w:type="spellStart"/>
      <w:r w:rsidR="005C7FC1">
        <w:t>Wmo</w:t>
      </w:r>
      <w:proofErr w:type="spellEnd"/>
      <w:r w:rsidR="005C7FC1">
        <w:t>-beleidsplan van de afzonderlijke gemeenten, en tot een actualisatie van prestatieafspraken tussen gemeenten, corporaties, en huurdersorganisaties, waarbij ook zorg- en welzijnsorganisaties worden betrokken.</w:t>
      </w:r>
    </w:p>
    <w:p w14:paraId="27766A59" w14:textId="3299D099" w:rsidR="009A4525" w:rsidRDefault="009A4525" w:rsidP="005C7FC1">
      <w:pPr>
        <w:pStyle w:val="Lijstalinea"/>
        <w:numPr>
          <w:ilvl w:val="0"/>
          <w:numId w:val="1"/>
        </w:numPr>
      </w:pPr>
      <w:r>
        <w:t>Kennis te nemen van het feit dat voor de huisvesting van (wettelijk) urgente groepen in alle gemeenten een huisvestingsverordening dient te worden opgesteld, waarin een urgentieregeling is opgenomen en afspraken over de verdeling van de wettelijk urgente groepen op het niveau van de woningmarktregio zijn vastgelegd.</w:t>
      </w:r>
    </w:p>
    <w:p w14:paraId="390A68D3" w14:textId="77777777" w:rsidR="00573633" w:rsidRDefault="00573633"/>
    <w:sectPr w:rsidR="00573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35E08"/>
    <w:multiLevelType w:val="hybridMultilevel"/>
    <w:tmpl w:val="BE9636FC"/>
    <w:lvl w:ilvl="0" w:tplc="B8180066">
      <w:start w:val="9"/>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3A4118"/>
    <w:multiLevelType w:val="hybridMultilevel"/>
    <w:tmpl w:val="12BC29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2E2B4E"/>
    <w:multiLevelType w:val="hybridMultilevel"/>
    <w:tmpl w:val="9330187C"/>
    <w:lvl w:ilvl="0" w:tplc="6DB40906">
      <w:start w:val="1"/>
      <w:numFmt w:val="decimal"/>
      <w:lvlText w:val="%1."/>
      <w:lvlJc w:val="left"/>
      <w:pPr>
        <w:ind w:left="1065" w:hanging="705"/>
      </w:pPr>
      <w:rPr>
        <w:rFonts w:hint="default"/>
      </w:rPr>
    </w:lvl>
    <w:lvl w:ilvl="1" w:tplc="C1C2BE76">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6716781">
    <w:abstractNumId w:val="1"/>
  </w:num>
  <w:num w:numId="2" w16cid:durableId="1089236276">
    <w:abstractNumId w:val="2"/>
  </w:num>
  <w:num w:numId="3" w16cid:durableId="152636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C1"/>
    <w:rsid w:val="00147FC6"/>
    <w:rsid w:val="002319C0"/>
    <w:rsid w:val="002535D3"/>
    <w:rsid w:val="002A0E6C"/>
    <w:rsid w:val="00573633"/>
    <w:rsid w:val="005C7FC1"/>
    <w:rsid w:val="00697CF7"/>
    <w:rsid w:val="006A596F"/>
    <w:rsid w:val="006C21F1"/>
    <w:rsid w:val="0079797E"/>
    <w:rsid w:val="0082208A"/>
    <w:rsid w:val="008F2E4C"/>
    <w:rsid w:val="00974E8D"/>
    <w:rsid w:val="009A4525"/>
    <w:rsid w:val="00AC0CB8"/>
    <w:rsid w:val="00C258E3"/>
    <w:rsid w:val="00D33F4F"/>
    <w:rsid w:val="00F319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4E49"/>
  <w15:chartTrackingRefBased/>
  <w15:docId w15:val="{00E94245-7B02-4D71-A5D7-5BB19C2D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7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C7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7F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7F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7F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7F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7F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7F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7F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7F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C7F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7F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7F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7F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7F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7F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7F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7FC1"/>
    <w:rPr>
      <w:rFonts w:eastAsiaTheme="majorEastAsia" w:cstheme="majorBidi"/>
      <w:color w:val="272727" w:themeColor="text1" w:themeTint="D8"/>
    </w:rPr>
  </w:style>
  <w:style w:type="paragraph" w:styleId="Titel">
    <w:name w:val="Title"/>
    <w:basedOn w:val="Standaard"/>
    <w:next w:val="Standaard"/>
    <w:link w:val="TitelChar"/>
    <w:uiPriority w:val="10"/>
    <w:qFormat/>
    <w:rsid w:val="005C7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7F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7F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7F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7F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7FC1"/>
    <w:rPr>
      <w:i/>
      <w:iCs/>
      <w:color w:val="404040" w:themeColor="text1" w:themeTint="BF"/>
    </w:rPr>
  </w:style>
  <w:style w:type="paragraph" w:styleId="Lijstalinea">
    <w:name w:val="List Paragraph"/>
    <w:basedOn w:val="Standaard"/>
    <w:uiPriority w:val="34"/>
    <w:qFormat/>
    <w:rsid w:val="005C7FC1"/>
    <w:pPr>
      <w:ind w:left="720"/>
      <w:contextualSpacing/>
    </w:pPr>
  </w:style>
  <w:style w:type="character" w:styleId="Intensievebenadrukking">
    <w:name w:val="Intense Emphasis"/>
    <w:basedOn w:val="Standaardalinea-lettertype"/>
    <w:uiPriority w:val="21"/>
    <w:qFormat/>
    <w:rsid w:val="005C7FC1"/>
    <w:rPr>
      <w:i/>
      <w:iCs/>
      <w:color w:val="0F4761" w:themeColor="accent1" w:themeShade="BF"/>
    </w:rPr>
  </w:style>
  <w:style w:type="paragraph" w:styleId="Duidelijkcitaat">
    <w:name w:val="Intense Quote"/>
    <w:basedOn w:val="Standaard"/>
    <w:next w:val="Standaard"/>
    <w:link w:val="DuidelijkcitaatChar"/>
    <w:uiPriority w:val="30"/>
    <w:qFormat/>
    <w:rsid w:val="005C7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7FC1"/>
    <w:rPr>
      <w:i/>
      <w:iCs/>
      <w:color w:val="0F4761" w:themeColor="accent1" w:themeShade="BF"/>
    </w:rPr>
  </w:style>
  <w:style w:type="character" w:styleId="Intensieveverwijzing">
    <w:name w:val="Intense Reference"/>
    <w:basedOn w:val="Standaardalinea-lettertype"/>
    <w:uiPriority w:val="32"/>
    <w:qFormat/>
    <w:rsid w:val="005C7FC1"/>
    <w:rPr>
      <w:b/>
      <w:bCs/>
      <w:smallCaps/>
      <w:color w:val="0F4761" w:themeColor="accent1" w:themeShade="BF"/>
      <w:spacing w:val="5"/>
    </w:rPr>
  </w:style>
  <w:style w:type="character" w:styleId="Hyperlink">
    <w:name w:val="Hyperlink"/>
    <w:basedOn w:val="Standaardalinea-lettertype"/>
    <w:uiPriority w:val="99"/>
    <w:unhideWhenUsed/>
    <w:rsid w:val="005C7FC1"/>
    <w:rPr>
      <w:color w:val="467886" w:themeColor="hyperlink"/>
      <w:u w:val="single"/>
    </w:rPr>
  </w:style>
  <w:style w:type="character" w:styleId="Onopgelostemelding">
    <w:name w:val="Unresolved Mention"/>
    <w:basedOn w:val="Standaardalinea-lettertype"/>
    <w:uiPriority w:val="99"/>
    <w:semiHidden/>
    <w:unhideWhenUsed/>
    <w:rsid w:val="005C7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olkshuisvestingnederland.nl/onderwerpen/online-kennis-en-expertisecentrum/documenten/publicaties/2024/03/08/handreiking-wonen-en-zorg-in-het-volkshuisvestingsprogramm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Bakkum</dc:creator>
  <cp:keywords/>
  <dc:description/>
  <cp:lastModifiedBy>Inger Bierman</cp:lastModifiedBy>
  <cp:revision>2</cp:revision>
  <dcterms:created xsi:type="dcterms:W3CDTF">2024-10-18T14:34:00Z</dcterms:created>
  <dcterms:modified xsi:type="dcterms:W3CDTF">2024-10-18T14:34:00Z</dcterms:modified>
</cp:coreProperties>
</file>