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A5EF7" w14:textId="358C545A" w:rsidR="0031472A" w:rsidRPr="00705CEE" w:rsidRDefault="00705CEE" w:rsidP="00C426DC">
      <w:pPr>
        <w:rPr>
          <w:b/>
          <w:sz w:val="22"/>
          <w:szCs w:val="22"/>
        </w:rPr>
      </w:pPr>
      <w:bookmarkStart w:id="0" w:name="OpenAt"/>
      <w:r w:rsidRPr="00705CEE">
        <w:rPr>
          <w:b/>
          <w:sz w:val="22"/>
          <w:szCs w:val="22"/>
        </w:rPr>
        <w:t xml:space="preserve">Bijlage </w:t>
      </w:r>
      <w:r w:rsidR="00674D4B">
        <w:rPr>
          <w:b/>
          <w:sz w:val="22"/>
          <w:szCs w:val="22"/>
        </w:rPr>
        <w:t xml:space="preserve">D </w:t>
      </w:r>
      <w:r w:rsidR="00AA4ACE">
        <w:rPr>
          <w:b/>
          <w:sz w:val="22"/>
          <w:szCs w:val="22"/>
        </w:rPr>
        <w:t>–</w:t>
      </w:r>
      <w:r w:rsidRPr="00705CEE">
        <w:rPr>
          <w:b/>
          <w:sz w:val="22"/>
          <w:szCs w:val="22"/>
        </w:rPr>
        <w:t xml:space="preserve"> </w:t>
      </w:r>
      <w:r w:rsidR="00AA4ACE">
        <w:rPr>
          <w:b/>
          <w:sz w:val="22"/>
          <w:szCs w:val="22"/>
        </w:rPr>
        <w:t>Model c</w:t>
      </w:r>
      <w:r w:rsidR="00674D4B">
        <w:rPr>
          <w:b/>
          <w:sz w:val="22"/>
          <w:szCs w:val="22"/>
        </w:rPr>
        <w:t>ontracts</w:t>
      </w:r>
      <w:r w:rsidRPr="00705CEE">
        <w:rPr>
          <w:b/>
          <w:sz w:val="22"/>
          <w:szCs w:val="22"/>
        </w:rPr>
        <w:t xml:space="preserve">voorwaarden </w:t>
      </w:r>
      <w:r w:rsidR="00654FAB">
        <w:rPr>
          <w:b/>
          <w:sz w:val="22"/>
          <w:szCs w:val="22"/>
        </w:rPr>
        <w:t>behorende bij de</w:t>
      </w:r>
      <w:r w:rsidRPr="00705CEE">
        <w:rPr>
          <w:b/>
          <w:sz w:val="22"/>
          <w:szCs w:val="22"/>
        </w:rPr>
        <w:t xml:space="preserve"> gunningscriteria</w:t>
      </w:r>
    </w:p>
    <w:bookmarkEnd w:id="0"/>
    <w:p w14:paraId="59905FE3" w14:textId="77777777" w:rsidR="00705CEE" w:rsidRDefault="00705CEE" w:rsidP="00C426DC"/>
    <w:p w14:paraId="4D2A1BB2" w14:textId="77777777" w:rsidR="0031472A" w:rsidRDefault="0031472A" w:rsidP="00C426DC">
      <w:pPr>
        <w:pStyle w:val="doLijstnummering7"/>
      </w:pPr>
      <w:r>
        <w:t>Definities</w:t>
      </w:r>
    </w:p>
    <w:p w14:paraId="63756024" w14:textId="77777777" w:rsidR="0031472A" w:rsidRDefault="0031472A" w:rsidP="0031472A">
      <w:pPr>
        <w:pStyle w:val="doLijstnummering7"/>
        <w:numPr>
          <w:ilvl w:val="0"/>
          <w:numId w:val="0"/>
        </w:numPr>
      </w:pPr>
    </w:p>
    <w:p w14:paraId="28F6352C" w14:textId="45FDEDDF" w:rsidR="0031472A" w:rsidRPr="004B3D8E" w:rsidRDefault="0031472A" w:rsidP="0031472A">
      <w:pPr>
        <w:pStyle w:val="doLijstnummering7"/>
        <w:numPr>
          <w:ilvl w:val="0"/>
          <w:numId w:val="0"/>
        </w:numPr>
        <w:rPr>
          <w:b/>
        </w:rPr>
      </w:pPr>
      <w:r w:rsidRPr="00D0227D">
        <w:rPr>
          <w:b/>
        </w:rPr>
        <w:t>Mensenrechten</w:t>
      </w:r>
      <w:r w:rsidR="00D0227D">
        <w:rPr>
          <w:b/>
        </w:rPr>
        <w:t>risico</w:t>
      </w:r>
      <w:r>
        <w:t>:</w:t>
      </w:r>
      <w:r w:rsidR="00D51F15">
        <w:t xml:space="preserve"> </w:t>
      </w:r>
      <w:r w:rsidR="004B3D8E">
        <w:t>het risico dat met de keu</w:t>
      </w:r>
      <w:r w:rsidR="00E87877">
        <w:t>ze voor de in te zetten camerasystemen</w:t>
      </w:r>
      <w:r w:rsidR="004B3D8E">
        <w:t xml:space="preserve"> culturele genocide of etnisch profileren wordt gefaciliteerd</w:t>
      </w:r>
      <w:r w:rsidR="00654FAB">
        <w:t xml:space="preserve">, doordat </w:t>
      </w:r>
      <w:r w:rsidR="00452FAE">
        <w:t>Leverancier</w:t>
      </w:r>
      <w:r w:rsidR="00654FAB">
        <w:t xml:space="preserve"> of een toeleverancier van </w:t>
      </w:r>
      <w:r w:rsidR="00452FAE">
        <w:t>Leverancier</w:t>
      </w:r>
      <w:r w:rsidR="00654FAB">
        <w:t xml:space="preserve"> </w:t>
      </w:r>
      <w:r w:rsidR="007D326B">
        <w:t xml:space="preserve">ook </w:t>
      </w:r>
      <w:bookmarkStart w:id="1" w:name="_GoBack"/>
      <w:bookmarkEnd w:id="1"/>
      <w:r w:rsidR="00654FAB">
        <w:t xml:space="preserve">camerasystemen </w:t>
      </w:r>
      <w:r w:rsidR="00AD2C8A">
        <w:t xml:space="preserve">heeft ontwikkeld of gefabriceerd </w:t>
      </w:r>
      <w:r w:rsidR="00654FAB">
        <w:t xml:space="preserve">die </w:t>
      </w:r>
      <w:r w:rsidR="00AD2C8A">
        <w:t>worden ingezet om bepaalde etnische bevolkingsgroepen (of een deel daarvan) uit te roeien, uit te sluiten of anderszins te benadelen.</w:t>
      </w:r>
    </w:p>
    <w:p w14:paraId="0862A8A3" w14:textId="77777777" w:rsidR="0031472A" w:rsidRDefault="0031472A" w:rsidP="0031472A">
      <w:pPr>
        <w:pStyle w:val="doLijstnummering7"/>
        <w:numPr>
          <w:ilvl w:val="0"/>
          <w:numId w:val="0"/>
        </w:numPr>
      </w:pPr>
    </w:p>
    <w:p w14:paraId="4BEC2BE9" w14:textId="00BD6A13" w:rsidR="002D5BC0" w:rsidRDefault="0031472A" w:rsidP="002D5BC0">
      <w:pPr>
        <w:pStyle w:val="doAlinea3"/>
        <w:numPr>
          <w:ilvl w:val="0"/>
          <w:numId w:val="0"/>
        </w:numPr>
      </w:pPr>
      <w:r w:rsidRPr="00D0227D">
        <w:rPr>
          <w:b/>
        </w:rPr>
        <w:t>Cyber</w:t>
      </w:r>
      <w:r w:rsidR="00A46112" w:rsidRPr="00D0227D">
        <w:rPr>
          <w:b/>
        </w:rPr>
        <w:t>veiligheid</w:t>
      </w:r>
      <w:r w:rsidR="002857AB">
        <w:rPr>
          <w:b/>
        </w:rPr>
        <w:t>srisico</w:t>
      </w:r>
      <w:r>
        <w:t xml:space="preserve">: </w:t>
      </w:r>
      <w:r w:rsidR="002D5BC0">
        <w:t>het risico</w:t>
      </w:r>
      <w:r w:rsidR="00A46112">
        <w:t xml:space="preserve"> dat in de bestaande</w:t>
      </w:r>
      <w:r w:rsidR="00314B2C">
        <w:t xml:space="preserve"> situatie of in een in redelijkheid</w:t>
      </w:r>
      <w:r w:rsidR="00A46112">
        <w:t xml:space="preserve"> te verwachten toekomstige situatie gegevens </w:t>
      </w:r>
      <w:r w:rsidR="00D51F15">
        <w:t xml:space="preserve">in handen komen van onbevoegde personen of partijen, waaronder in ieder geval moeten worden begrepen (partijen die direct of indirect (mede) worden aangestuurd door) </w:t>
      </w:r>
      <w:r w:rsidR="002D5BC0">
        <w:t xml:space="preserve">buitenlandse mogendheden </w:t>
      </w:r>
      <w:r w:rsidR="002D5BC0" w:rsidRPr="00935B60">
        <w:t>met een offensieve cyberagenda/offensief inlichtingenprogramma gericht op Ne</w:t>
      </w:r>
      <w:r w:rsidR="002D5BC0">
        <w:t xml:space="preserve">derland en Nederlandse belangen. Vorenbedoelde landen zijn </w:t>
      </w:r>
      <w:r w:rsidR="002D5BC0" w:rsidRPr="005012BB">
        <w:rPr>
          <w:highlight w:val="yellow"/>
        </w:rPr>
        <w:t>[IN TE VULLEN DOOR GEMEENTE</w:t>
      </w:r>
      <w:r w:rsidR="002D5BC0" w:rsidRPr="00AD2C8A">
        <w:rPr>
          <w:highlight w:val="yellow"/>
        </w:rPr>
        <w:t>]</w:t>
      </w:r>
      <w:r w:rsidR="002D5BC0">
        <w:t xml:space="preserve">. </w:t>
      </w:r>
    </w:p>
    <w:p w14:paraId="06F6135E" w14:textId="6D8E5121" w:rsidR="008F0981" w:rsidRDefault="008F0981" w:rsidP="008F0981"/>
    <w:p w14:paraId="2BEA9673" w14:textId="1CE7C227" w:rsidR="008F0981" w:rsidRDefault="008F0981" w:rsidP="008F0981">
      <w:pPr>
        <w:rPr>
          <w:b/>
        </w:rPr>
      </w:pPr>
      <w:r w:rsidRPr="008F0981">
        <w:rPr>
          <w:b/>
        </w:rPr>
        <w:t xml:space="preserve">Plan van Aanpak Mitigeren </w:t>
      </w:r>
      <w:r w:rsidR="00452FAE" w:rsidRPr="00452FAE">
        <w:rPr>
          <w:b/>
        </w:rPr>
        <w:t>Mensenrechtenrisico’s</w:t>
      </w:r>
      <w:r w:rsidRPr="00452FAE">
        <w:t>:</w:t>
      </w:r>
      <w:r w:rsidR="00452FAE">
        <w:t xml:space="preserve"> het als onderdeel van de aanbesteding door Leverancier opgestelde plan van aanpak mitigeren mensenrechtenrisico’s.</w:t>
      </w:r>
    </w:p>
    <w:p w14:paraId="002F7C52" w14:textId="77777777" w:rsidR="008F0981" w:rsidRDefault="008F0981" w:rsidP="008F0981">
      <w:pPr>
        <w:rPr>
          <w:b/>
        </w:rPr>
      </w:pPr>
    </w:p>
    <w:p w14:paraId="07CB5DC5" w14:textId="3C78D3D2" w:rsidR="008F0981" w:rsidRPr="008F0981" w:rsidRDefault="008F0981" w:rsidP="008F0981">
      <w:r w:rsidRPr="00452FAE">
        <w:rPr>
          <w:b/>
        </w:rPr>
        <w:t>Plan van Aanpak Cyberveiligheid</w:t>
      </w:r>
      <w:r w:rsidR="00452FAE">
        <w:t xml:space="preserve">: </w:t>
      </w:r>
      <w:r w:rsidRPr="008F0981">
        <w:t xml:space="preserve"> </w:t>
      </w:r>
      <w:r w:rsidR="00452FAE">
        <w:t>het als onderdeel van de aanbesteding door Leverancier opgestelde plan van aanpak cyberveiligheid.</w:t>
      </w:r>
    </w:p>
    <w:p w14:paraId="3E5D7A69" w14:textId="77777777" w:rsidR="0031472A" w:rsidRDefault="0031472A" w:rsidP="0031472A">
      <w:pPr>
        <w:pStyle w:val="doLijstnummering7"/>
        <w:numPr>
          <w:ilvl w:val="0"/>
          <w:numId w:val="0"/>
        </w:numPr>
      </w:pPr>
    </w:p>
    <w:p w14:paraId="232DF626" w14:textId="1419265A" w:rsidR="00C426DC" w:rsidRDefault="00C426DC" w:rsidP="00C426DC">
      <w:pPr>
        <w:pStyle w:val="doLijstnummering7"/>
      </w:pPr>
      <w:r>
        <w:t xml:space="preserve">Mitigeren van </w:t>
      </w:r>
      <w:r w:rsidR="0031472A">
        <w:t>M</w:t>
      </w:r>
      <w:r>
        <w:t>ensenrechten</w:t>
      </w:r>
      <w:r w:rsidR="002857AB">
        <w:t>risico’s</w:t>
      </w:r>
      <w:r w:rsidR="0031472A">
        <w:t xml:space="preserve"> en C</w:t>
      </w:r>
      <w:r>
        <w:t>yberveiligheid</w:t>
      </w:r>
      <w:r w:rsidR="002857AB">
        <w:t>srisico</w:t>
      </w:r>
      <w:r w:rsidR="000F0ECC">
        <w:t>’</w:t>
      </w:r>
      <w:r w:rsidR="002857AB">
        <w:t>s</w:t>
      </w:r>
      <w:r w:rsidR="000F0ECC">
        <w:t xml:space="preserve"> conform Plan van Aanpak</w:t>
      </w:r>
    </w:p>
    <w:p w14:paraId="3548C7C7" w14:textId="77777777" w:rsidR="00C426DC" w:rsidRDefault="00C426DC" w:rsidP="00C426DC">
      <w:pPr>
        <w:pStyle w:val="doLijstnummering7"/>
        <w:numPr>
          <w:ilvl w:val="0"/>
          <w:numId w:val="0"/>
        </w:numPr>
        <w:ind w:left="851"/>
      </w:pPr>
    </w:p>
    <w:p w14:paraId="4424EB12" w14:textId="3F1733D5" w:rsidR="00C426DC" w:rsidRDefault="0072220A" w:rsidP="0072220A">
      <w:pPr>
        <w:pStyle w:val="doLijstnummering7"/>
        <w:numPr>
          <w:ilvl w:val="1"/>
          <w:numId w:val="8"/>
        </w:numPr>
      </w:pPr>
      <w:r>
        <w:t xml:space="preserve">Als onderdeel van de aanbesteding heeft </w:t>
      </w:r>
      <w:r w:rsidR="00452FAE">
        <w:t>Leverancier</w:t>
      </w:r>
      <w:r>
        <w:t xml:space="preserve"> een Plan van Aanpak M</w:t>
      </w:r>
      <w:r w:rsidRPr="0072220A">
        <w:t>itigeren</w:t>
      </w:r>
      <w:r w:rsidR="00D51F15">
        <w:t xml:space="preserve"> Mensenrechten</w:t>
      </w:r>
      <w:r>
        <w:t xml:space="preserve"> en een </w:t>
      </w:r>
      <w:r w:rsidR="001E7ED7">
        <w:t>Plan van Aanpak Cyberveiligheid opgesteld</w:t>
      </w:r>
      <w:r>
        <w:t xml:space="preserve">. Deze plannen van aanpak </w:t>
      </w:r>
      <w:r w:rsidR="001E7ED7">
        <w:t>vormen een</w:t>
      </w:r>
      <w:r>
        <w:t xml:space="preserve"> integraal onderdeel van de Overeenkomst</w:t>
      </w:r>
      <w:r w:rsidR="001E4D0F">
        <w:rPr>
          <w:rStyle w:val="Voetnootmarkering"/>
        </w:rPr>
        <w:footnoteReference w:id="1"/>
      </w:r>
      <w:r>
        <w:t xml:space="preserve">. </w:t>
      </w:r>
      <w:r w:rsidR="00452FAE">
        <w:t>Leverancier</w:t>
      </w:r>
      <w:r w:rsidR="001E7ED7">
        <w:t xml:space="preserve"> is verplicht om de in de Plannen van Aanpak beschreven maatregelen gedurende de gehele looptijd van de Overeenkomst uit te voeren en uitgevoerd te houden.</w:t>
      </w:r>
      <w:r>
        <w:t xml:space="preserve"> </w:t>
      </w:r>
    </w:p>
    <w:p w14:paraId="575AD9D8" w14:textId="7D4ED402" w:rsidR="00EF0023" w:rsidRDefault="00452FAE" w:rsidP="0072220A">
      <w:pPr>
        <w:pStyle w:val="doLijstnummering7"/>
        <w:numPr>
          <w:ilvl w:val="1"/>
          <w:numId w:val="8"/>
        </w:numPr>
      </w:pPr>
      <w:r>
        <w:t>Leverancier</w:t>
      </w:r>
      <w:r w:rsidR="00270419">
        <w:t xml:space="preserve"> zal gedurende de looptijd van de Overeenkomst continue de effectiviteit van </w:t>
      </w:r>
      <w:r w:rsidR="00416C43">
        <w:t xml:space="preserve">de in de plannen van aanpak beschreven maatregelen monitoren. </w:t>
      </w:r>
      <w:r w:rsidR="0031472A">
        <w:t xml:space="preserve">Indien </w:t>
      </w:r>
      <w:r>
        <w:t>Leverancier</w:t>
      </w:r>
      <w:r w:rsidR="0031472A">
        <w:t>, al dan niet na daarop gewezen te zijn door Opdrachtgever, vaststelt dat:</w:t>
      </w:r>
    </w:p>
    <w:p w14:paraId="5364182C" w14:textId="77777777" w:rsidR="0031472A" w:rsidRDefault="0031472A" w:rsidP="0031472A">
      <w:pPr>
        <w:pStyle w:val="doLijstnummering7"/>
        <w:numPr>
          <w:ilvl w:val="2"/>
          <w:numId w:val="8"/>
        </w:numPr>
      </w:pPr>
      <w:r>
        <w:t>zich nieuwe Mensenrechten</w:t>
      </w:r>
      <w:r w:rsidR="00AC0106">
        <w:t>risico’s</w:t>
      </w:r>
      <w:r>
        <w:t xml:space="preserve"> of Cyber</w:t>
      </w:r>
      <w:r w:rsidR="00A46112">
        <w:t>veiligheid</w:t>
      </w:r>
      <w:r w:rsidR="00AC0106">
        <w:t>srisico’s voordoen</w:t>
      </w:r>
      <w:r>
        <w:t>;</w:t>
      </w:r>
      <w:r w:rsidR="00270419">
        <w:t xml:space="preserve"> of</w:t>
      </w:r>
    </w:p>
    <w:p w14:paraId="42002E9E" w14:textId="07D481AC" w:rsidR="0031472A" w:rsidRDefault="0031472A" w:rsidP="00270419">
      <w:pPr>
        <w:pStyle w:val="doLijstnummering7"/>
        <w:numPr>
          <w:ilvl w:val="2"/>
          <w:numId w:val="8"/>
        </w:numPr>
      </w:pPr>
      <w:r>
        <w:lastRenderedPageBreak/>
        <w:t xml:space="preserve">de in de plannen van aanpak beschreven mitigerende maatregelen </w:t>
      </w:r>
      <w:r w:rsidR="00612BFB">
        <w:t xml:space="preserve">naar objectieve maatstaven </w:t>
      </w:r>
      <w:r>
        <w:t xml:space="preserve">niet effectief blijken te zijn; </w:t>
      </w:r>
    </w:p>
    <w:p w14:paraId="1C094D0D" w14:textId="29599059" w:rsidR="000A265B" w:rsidRDefault="00270419" w:rsidP="00270419">
      <w:pPr>
        <w:pStyle w:val="doLijstnummering7"/>
        <w:numPr>
          <w:ilvl w:val="0"/>
          <w:numId w:val="0"/>
        </w:numPr>
        <w:ind w:left="709"/>
      </w:pPr>
      <w:r>
        <w:t xml:space="preserve">zal </w:t>
      </w:r>
      <w:r w:rsidR="00452FAE">
        <w:t>Leverancier</w:t>
      </w:r>
      <w:r>
        <w:t xml:space="preserve"> daarvan binnen veertien (14) werkdagen </w:t>
      </w:r>
      <w:r w:rsidR="00416C43">
        <w:t xml:space="preserve">schriftelijk </w:t>
      </w:r>
      <w:r>
        <w:t xml:space="preserve">mededeling doen aan Opdrachtgever. </w:t>
      </w:r>
    </w:p>
    <w:p w14:paraId="2BDDA38C" w14:textId="4BBD0393" w:rsidR="000A265B" w:rsidRDefault="00452FAE" w:rsidP="000A265B">
      <w:pPr>
        <w:pStyle w:val="doLijstnummering7"/>
        <w:numPr>
          <w:ilvl w:val="1"/>
          <w:numId w:val="8"/>
        </w:numPr>
      </w:pPr>
      <w:r>
        <w:t>Leverancier</w:t>
      </w:r>
      <w:r w:rsidR="00270419">
        <w:t xml:space="preserve"> is verplicht om binnen één maand </w:t>
      </w:r>
      <w:r w:rsidR="00B724F0">
        <w:t>na het doen van de</w:t>
      </w:r>
      <w:r w:rsidR="000A265B">
        <w:t xml:space="preserve"> in het tweede lid beschreven</w:t>
      </w:r>
      <w:r w:rsidR="00B724F0">
        <w:t xml:space="preserve"> mededeling </w:t>
      </w:r>
      <w:r w:rsidR="000A265B">
        <w:t xml:space="preserve">schriftelijk </w:t>
      </w:r>
      <w:r w:rsidR="00416C43">
        <w:t>aanvullende beheersmaatregelen</w:t>
      </w:r>
      <w:r w:rsidR="00C358C2">
        <w:t xml:space="preserve"> voor te stellen aan Opdrachtgev</w:t>
      </w:r>
      <w:r w:rsidR="00176CA7">
        <w:t>er</w:t>
      </w:r>
      <w:r w:rsidR="000A265B">
        <w:t xml:space="preserve">. Daarbij zal </w:t>
      </w:r>
      <w:r>
        <w:t>Leverancier</w:t>
      </w:r>
      <w:r w:rsidR="000A265B">
        <w:t xml:space="preserve"> ten minste aangeven:</w:t>
      </w:r>
    </w:p>
    <w:p w14:paraId="70D7F1B2" w14:textId="77777777" w:rsidR="000A265B" w:rsidRDefault="000A265B" w:rsidP="000A265B">
      <w:pPr>
        <w:pStyle w:val="doLijstnummering7"/>
        <w:numPr>
          <w:ilvl w:val="2"/>
          <w:numId w:val="8"/>
        </w:numPr>
      </w:pPr>
      <w:r>
        <w:t>welke (nieuwe) risico’s zich voordoen;</w:t>
      </w:r>
    </w:p>
    <w:p w14:paraId="27603094" w14:textId="008D51F1" w:rsidR="000A265B" w:rsidRDefault="000A265B" w:rsidP="000A265B">
      <w:pPr>
        <w:pStyle w:val="doLijstnummering7"/>
        <w:numPr>
          <w:ilvl w:val="2"/>
          <w:numId w:val="8"/>
        </w:numPr>
      </w:pPr>
      <w:r>
        <w:t xml:space="preserve">welke aanvullende beheersmaatregelen </w:t>
      </w:r>
      <w:r w:rsidR="00452FAE">
        <w:t>Leverancier</w:t>
      </w:r>
      <w:r>
        <w:t xml:space="preserve"> voorstelt</w:t>
      </w:r>
      <w:r w:rsidR="00925725">
        <w:t>, waarbij de aanvullende beheersmaatregelen SMART zijn beschreven</w:t>
      </w:r>
      <w:r>
        <w:t>;</w:t>
      </w:r>
    </w:p>
    <w:p w14:paraId="30345B6F" w14:textId="77777777" w:rsidR="00E80C20" w:rsidRDefault="000A265B" w:rsidP="000A265B">
      <w:pPr>
        <w:pStyle w:val="doLijstnummering7"/>
        <w:numPr>
          <w:ilvl w:val="2"/>
          <w:numId w:val="8"/>
        </w:numPr>
      </w:pPr>
      <w:r>
        <w:t xml:space="preserve">wat de verwachte </w:t>
      </w:r>
      <w:r w:rsidR="00E80C20">
        <w:t>effectiviteit</w:t>
      </w:r>
      <w:r>
        <w:t xml:space="preserve"> is van de voorgestelde beheersmaatregele</w:t>
      </w:r>
      <w:r w:rsidR="00176CA7">
        <w:t>n</w:t>
      </w:r>
      <w:r w:rsidR="00E80C20">
        <w:t>;</w:t>
      </w:r>
    </w:p>
    <w:p w14:paraId="63A4779B" w14:textId="77777777" w:rsidR="00E80C20" w:rsidRDefault="00E80C20" w:rsidP="000A265B">
      <w:pPr>
        <w:pStyle w:val="doLijstnummering7"/>
        <w:numPr>
          <w:ilvl w:val="2"/>
          <w:numId w:val="8"/>
        </w:numPr>
      </w:pPr>
      <w:r>
        <w:t>welke restrisico’s blijven bestaan na implementatie van de voorgestelde beheersmaatregelen;</w:t>
      </w:r>
    </w:p>
    <w:p w14:paraId="378D5DAF" w14:textId="77777777" w:rsidR="00E80C20" w:rsidRDefault="00E80C20" w:rsidP="00E80C20">
      <w:pPr>
        <w:pStyle w:val="doLijstnummering7"/>
        <w:numPr>
          <w:ilvl w:val="2"/>
          <w:numId w:val="8"/>
        </w:numPr>
      </w:pPr>
      <w:r>
        <w:t>wat de eventuele extra kosten zijn die de aanvullende beheersmaatregelen met zich brengen.</w:t>
      </w:r>
    </w:p>
    <w:p w14:paraId="7B6BC0CE" w14:textId="45DEC261" w:rsidR="00D757EB" w:rsidRDefault="00E80C20" w:rsidP="00C426DC">
      <w:pPr>
        <w:pStyle w:val="doLijstnummering7"/>
        <w:numPr>
          <w:ilvl w:val="1"/>
          <w:numId w:val="8"/>
        </w:numPr>
      </w:pPr>
      <w:r>
        <w:t xml:space="preserve">Nadat de aanvullende beheersmaatregelen door Opdrachtgever zijn goedgekeurd, zal </w:t>
      </w:r>
      <w:r w:rsidR="00452FAE">
        <w:t>Leverancier</w:t>
      </w:r>
      <w:r>
        <w:t xml:space="preserve"> die uitvoeren. </w:t>
      </w:r>
    </w:p>
    <w:p w14:paraId="744F91FC" w14:textId="124E2B87" w:rsidR="00594BCE" w:rsidRDefault="00DA1B4E" w:rsidP="00C426DC">
      <w:pPr>
        <w:pStyle w:val="doLijstnummering7"/>
        <w:numPr>
          <w:ilvl w:val="1"/>
          <w:numId w:val="8"/>
        </w:numPr>
      </w:pPr>
      <w:r>
        <w:t xml:space="preserve">Eventuele extra kosten die aanvullende beheersmaatregelen met zich brengen komen in ieder geval voor rekening van </w:t>
      </w:r>
      <w:r w:rsidR="00452FAE">
        <w:t>Leverancier</w:t>
      </w:r>
      <w:r>
        <w:t xml:space="preserve"> in de gevallen waarin</w:t>
      </w:r>
      <w:r w:rsidR="00594BCE">
        <w:t>:</w:t>
      </w:r>
    </w:p>
    <w:p w14:paraId="499B5FC5" w14:textId="522E46D1" w:rsidR="00594BCE" w:rsidRDefault="00DA1B4E" w:rsidP="00594BCE">
      <w:pPr>
        <w:pStyle w:val="doLijstnummering7"/>
        <w:numPr>
          <w:ilvl w:val="2"/>
          <w:numId w:val="8"/>
        </w:numPr>
      </w:pPr>
      <w:r>
        <w:t xml:space="preserve">de aanvullende beheersmaatregelen </w:t>
      </w:r>
      <w:r w:rsidR="001479E7">
        <w:t xml:space="preserve">een gevolg zijn van een tekortkoming in de nakoming van de Overeenkomst door </w:t>
      </w:r>
      <w:r w:rsidR="00452FAE">
        <w:t>Leverancier</w:t>
      </w:r>
      <w:r w:rsidR="000270A1">
        <w:t>, waaronder de situatie het nieuwe risico (mede) is ontstaan door toedoen van Leverancier</w:t>
      </w:r>
      <w:r w:rsidR="00594BCE">
        <w:t>; of</w:t>
      </w:r>
    </w:p>
    <w:p w14:paraId="5EA124BE" w14:textId="3B369E81" w:rsidR="00594BCE" w:rsidRDefault="001479E7" w:rsidP="00594BCE">
      <w:pPr>
        <w:pStyle w:val="doLijstnummering7"/>
        <w:numPr>
          <w:ilvl w:val="2"/>
          <w:numId w:val="8"/>
        </w:numPr>
      </w:pPr>
      <w:r>
        <w:t xml:space="preserve">de aanvullende beheersmaatregelen het gevolg zijn van een onjuiste inschatting </w:t>
      </w:r>
      <w:r w:rsidR="00594BCE">
        <w:t xml:space="preserve">van </w:t>
      </w:r>
      <w:r w:rsidR="00452FAE">
        <w:t>Leverancier</w:t>
      </w:r>
      <w:r w:rsidR="00594BCE">
        <w:t xml:space="preserve"> in het Plan van Aanpak M</w:t>
      </w:r>
      <w:r w:rsidR="00594BCE" w:rsidRPr="0072220A">
        <w:t>itigeren</w:t>
      </w:r>
      <w:r w:rsidR="00594BCE">
        <w:t xml:space="preserve"> Mensenrechten of het Plan van Aanpak Cyberveiligheid </w:t>
      </w:r>
      <w:r>
        <w:t xml:space="preserve">van de Mensenrechtenrisico’s, Cyberveiligheidsrisico’s of de effectiviteit van de voorgestelde </w:t>
      </w:r>
      <w:r w:rsidR="00594BCE">
        <w:t xml:space="preserve">beheersmaatregelen, terwijl </w:t>
      </w:r>
      <w:r w:rsidR="00452FAE">
        <w:t>Leverancier</w:t>
      </w:r>
      <w:r w:rsidR="00594BCE">
        <w:t xml:space="preserve"> wel over de kennis kon beschikken om een goede inschatting te maken.</w:t>
      </w:r>
    </w:p>
    <w:p w14:paraId="454FDD63" w14:textId="6FEC86C8" w:rsidR="008C4CE7" w:rsidRDefault="00594BCE" w:rsidP="00594BCE">
      <w:pPr>
        <w:pStyle w:val="doLijstnummering7"/>
        <w:numPr>
          <w:ilvl w:val="0"/>
          <w:numId w:val="0"/>
        </w:numPr>
        <w:ind w:left="709"/>
      </w:pPr>
      <w:r>
        <w:t xml:space="preserve">In andere gevallen dan de gevallen hiervoor beschreven onder a en b, treden Partijen met elkaar in overleg om te komen tot een redelijke verdeling van de extra kosten die aanvullende beheersmaatregelen met zich brengen. In geen geval mag </w:t>
      </w:r>
      <w:r w:rsidR="00452FAE">
        <w:t>Leverancier</w:t>
      </w:r>
      <w:r>
        <w:t xml:space="preserve"> over </w:t>
      </w:r>
      <w:r w:rsidR="00CB0FE5">
        <w:t xml:space="preserve">kostenverhoging </w:t>
      </w:r>
      <w:r>
        <w:t xml:space="preserve">in verband met aanvullende beheersmaatregelen </w:t>
      </w:r>
      <w:r w:rsidR="00CB0FE5">
        <w:t>een winstmarge rekenen.</w:t>
      </w:r>
    </w:p>
    <w:p w14:paraId="23ECFE80" w14:textId="54E3D02B" w:rsidR="004B1F7D" w:rsidRDefault="00CB0FE5" w:rsidP="004B1F7D">
      <w:pPr>
        <w:pStyle w:val="doLijstnummering7"/>
        <w:numPr>
          <w:ilvl w:val="1"/>
          <w:numId w:val="8"/>
        </w:numPr>
      </w:pPr>
      <w:r>
        <w:t xml:space="preserve">Indien de door </w:t>
      </w:r>
      <w:r w:rsidR="00452FAE">
        <w:t>Leverancier</w:t>
      </w:r>
      <w:r>
        <w:t xml:space="preserve"> voorgestelde kostenverhoging voor aanvullende beheersmaatregelen naar het oordeel van Opdrachtgever buitenproportioneel hoog is</w:t>
      </w:r>
      <w:r w:rsidR="005A7F4D">
        <w:t xml:space="preserve"> of in strijd is met het aanbestedingsrecht</w:t>
      </w:r>
      <w:r>
        <w:t xml:space="preserve">, terwijl </w:t>
      </w:r>
      <w:r w:rsidR="004B1F7D">
        <w:t xml:space="preserve">er wel reële </w:t>
      </w:r>
      <w:r w:rsidR="001479E7">
        <w:t>Mensenrechtenrisico’s en Cyberveiligheidsrisico’s bestaan</w:t>
      </w:r>
      <w:r w:rsidR="004B1F7D">
        <w:t>, is Opdrachtge</w:t>
      </w:r>
      <w:r w:rsidR="009D1A20">
        <w:t>ver gerechtigd de Overeenkomst geheel of gedeeltelijk</w:t>
      </w:r>
      <w:r w:rsidR="004B1F7D">
        <w:t xml:space="preserve"> te ontbinden</w:t>
      </w:r>
      <w:r w:rsidR="009D1A20">
        <w:t>, zulks naar keuze van Opdrachtgever</w:t>
      </w:r>
      <w:r w:rsidR="004B1F7D">
        <w:t>.</w:t>
      </w:r>
    </w:p>
    <w:p w14:paraId="55EC3EAE" w14:textId="59AFD4B2" w:rsidR="00287DF8" w:rsidRDefault="001F26A3" w:rsidP="00C426DC">
      <w:pPr>
        <w:pStyle w:val="doLijstnummering7"/>
        <w:numPr>
          <w:ilvl w:val="1"/>
          <w:numId w:val="8"/>
        </w:numPr>
      </w:pPr>
      <w:r>
        <w:t xml:space="preserve">Voor het eerst in de eerste maand na het verstrijken van het eerste contractsjaar en nadien in de eerste maand </w:t>
      </w:r>
      <w:r w:rsidR="001E7ED7">
        <w:t xml:space="preserve">van ieder </w:t>
      </w:r>
      <w:r w:rsidR="00EE2875">
        <w:t xml:space="preserve">volgend </w:t>
      </w:r>
      <w:r w:rsidR="001E7ED7">
        <w:t xml:space="preserve">contractsjaar </w:t>
      </w:r>
      <w:r w:rsidR="00EE2875">
        <w:t xml:space="preserve">brengt Leverancier </w:t>
      </w:r>
      <w:r w:rsidR="001E7ED7">
        <w:t xml:space="preserve">aan Opdrachtgever schriftelijk verslag uit van </w:t>
      </w:r>
      <w:r w:rsidR="00287DF8">
        <w:t xml:space="preserve">de wijze </w:t>
      </w:r>
      <w:r w:rsidR="00287DF8">
        <w:lastRenderedPageBreak/>
        <w:t>waarop uitvoering is gegeven aan de in de plannen van aanpak beschreven maatregelen. Van dat verslag maken ten minste deel uit:</w:t>
      </w:r>
    </w:p>
    <w:p w14:paraId="632D6C4E" w14:textId="7AE98B14" w:rsidR="00C426DC" w:rsidRDefault="00416C43" w:rsidP="00287DF8">
      <w:pPr>
        <w:pStyle w:val="doLijstnummering7"/>
        <w:numPr>
          <w:ilvl w:val="2"/>
          <w:numId w:val="8"/>
        </w:numPr>
      </w:pPr>
      <w:r>
        <w:t>e</w:t>
      </w:r>
      <w:r w:rsidR="00287DF8">
        <w:t xml:space="preserve">en beschrijving van de implementatie van de door </w:t>
      </w:r>
      <w:r w:rsidR="00452FAE">
        <w:t>Leverancier</w:t>
      </w:r>
      <w:r w:rsidR="00287DF8">
        <w:t xml:space="preserve"> getroffen </w:t>
      </w:r>
      <w:r w:rsidR="00176CA7">
        <w:t>beheers</w:t>
      </w:r>
      <w:r w:rsidR="00287DF8">
        <w:t xml:space="preserve">maatregelen in het voorafgaande </w:t>
      </w:r>
      <w:r w:rsidR="001F26A3">
        <w:t>contracts</w:t>
      </w:r>
      <w:r w:rsidR="00287DF8">
        <w:t>jaar;</w:t>
      </w:r>
    </w:p>
    <w:p w14:paraId="60A0D708" w14:textId="77777777" w:rsidR="00287DF8" w:rsidRDefault="00416C43" w:rsidP="00287DF8">
      <w:pPr>
        <w:pStyle w:val="doLijstnummering7"/>
        <w:numPr>
          <w:ilvl w:val="2"/>
          <w:numId w:val="8"/>
        </w:numPr>
      </w:pPr>
      <w:r>
        <w:t>e</w:t>
      </w:r>
      <w:r w:rsidR="00287DF8">
        <w:t>en inschatting van de effectivite</w:t>
      </w:r>
      <w:r w:rsidR="00176CA7">
        <w:t>it van de getroffen maatregelen;</w:t>
      </w:r>
    </w:p>
    <w:p w14:paraId="156640ED" w14:textId="77777777" w:rsidR="00176CA7" w:rsidRDefault="00176CA7" w:rsidP="00176CA7">
      <w:pPr>
        <w:pStyle w:val="doLijstnummering7"/>
        <w:numPr>
          <w:ilvl w:val="2"/>
          <w:numId w:val="8"/>
        </w:numPr>
      </w:pPr>
      <w:r>
        <w:t xml:space="preserve">een overzicht van de eventuele nieuwe </w:t>
      </w:r>
      <w:r w:rsidR="00D51F15">
        <w:t>Mensenrechten</w:t>
      </w:r>
      <w:r w:rsidR="00AC0106">
        <w:t>risico’s</w:t>
      </w:r>
      <w:r>
        <w:t xml:space="preserve"> of Cyberveiligheid</w:t>
      </w:r>
      <w:r w:rsidR="00AC0106">
        <w:t>srisico’s</w:t>
      </w:r>
      <w:r>
        <w:t>.</w:t>
      </w:r>
    </w:p>
    <w:p w14:paraId="0ED5709C" w14:textId="7BAEA777" w:rsidR="00176CA7" w:rsidRDefault="00176CA7" w:rsidP="00C426DC">
      <w:pPr>
        <w:pStyle w:val="doLijstnummering7"/>
        <w:numPr>
          <w:ilvl w:val="1"/>
          <w:numId w:val="8"/>
        </w:numPr>
      </w:pPr>
      <w:r>
        <w:t xml:space="preserve">Opdrachtgever heeft het recht om een audit uit te voeren naar de wijze waarop </w:t>
      </w:r>
      <w:r w:rsidR="00452FAE">
        <w:t>Leverancier</w:t>
      </w:r>
      <w:r>
        <w:t xml:space="preserve"> uitvoering geeft aan de verplichting</w:t>
      </w:r>
      <w:r w:rsidR="00A46112">
        <w:t>en</w:t>
      </w:r>
      <w:r>
        <w:t xml:space="preserve"> uit </w:t>
      </w:r>
      <w:r w:rsidR="007B6B44">
        <w:t xml:space="preserve">de Overeenkomst, waaronder </w:t>
      </w:r>
      <w:r w:rsidR="006F29D2">
        <w:t xml:space="preserve">mede wordt begrepen een audit waarin Opdrachtgever de effectiviteit van de door </w:t>
      </w:r>
      <w:r w:rsidR="00452FAE">
        <w:t>Leverancier</w:t>
      </w:r>
      <w:r w:rsidR="006F29D2">
        <w:t xml:space="preserve"> op grond van dit artikel te treffen beheersmaatregelen </w:t>
      </w:r>
      <w:r w:rsidR="00452FAE">
        <w:t>beoordeelt</w:t>
      </w:r>
      <w:r w:rsidR="006F29D2">
        <w:t xml:space="preserve">. </w:t>
      </w:r>
      <w:r w:rsidR="00452FAE">
        <w:t>Leverancier</w:t>
      </w:r>
      <w:r w:rsidR="006F29D2">
        <w:t xml:space="preserve"> zal aan een audit zijn volledige medewerking verlenen. Die medewerking omvat mede de verplichting om op verzoek van Opdrachtgever inzicht te geven in de broncode van de software en firmware die onderdeel uitmaken van de in te zetten camerasystemen. </w:t>
      </w:r>
      <w:r>
        <w:t xml:space="preserve">Artikel </w:t>
      </w:r>
      <w:r w:rsidR="006F29D2">
        <w:rPr>
          <w:highlight w:val="yellow"/>
        </w:rPr>
        <w:t>[PM</w:t>
      </w:r>
      <w:r w:rsidR="006F29D2">
        <w:rPr>
          <w:rStyle w:val="Voetnootmarkering"/>
          <w:highlight w:val="yellow"/>
        </w:rPr>
        <w:footnoteReference w:id="2"/>
      </w:r>
      <w:r w:rsidRPr="007B6B44">
        <w:rPr>
          <w:highlight w:val="yellow"/>
        </w:rPr>
        <w:t>]</w:t>
      </w:r>
      <w:r>
        <w:t xml:space="preserve"> is van overeenkomstige toepassing.</w:t>
      </w:r>
    </w:p>
    <w:p w14:paraId="2D4DC01A" w14:textId="77777777" w:rsidR="008C4CE7" w:rsidRDefault="008C4CE7" w:rsidP="008C4CE7">
      <w:pPr>
        <w:pStyle w:val="doLijstnummering7"/>
        <w:numPr>
          <w:ilvl w:val="0"/>
          <w:numId w:val="0"/>
        </w:numPr>
        <w:ind w:left="709"/>
      </w:pPr>
    </w:p>
    <w:p w14:paraId="1ACF7E76" w14:textId="77777777" w:rsidR="008C4CE7" w:rsidRDefault="00E9391B" w:rsidP="008C4CE7">
      <w:pPr>
        <w:pStyle w:val="doLijstnummering7"/>
      </w:pPr>
      <w:r>
        <w:t>Aanvullende bepalingen onderaannemers</w:t>
      </w:r>
    </w:p>
    <w:p w14:paraId="2533469E" w14:textId="77777777" w:rsidR="00B303FA" w:rsidRDefault="00B303FA" w:rsidP="00B303FA">
      <w:pPr>
        <w:pStyle w:val="doLijstnummering7"/>
        <w:numPr>
          <w:ilvl w:val="0"/>
          <w:numId w:val="0"/>
        </w:numPr>
        <w:ind w:left="851"/>
      </w:pPr>
    </w:p>
    <w:p w14:paraId="3B28D565" w14:textId="5E3FBC65" w:rsidR="00C426DC" w:rsidRDefault="00452FAE" w:rsidP="00C426DC">
      <w:pPr>
        <w:pStyle w:val="doLijstnummering7"/>
        <w:numPr>
          <w:ilvl w:val="1"/>
          <w:numId w:val="8"/>
        </w:numPr>
      </w:pPr>
      <w:r>
        <w:t>Leverancier</w:t>
      </w:r>
      <w:r w:rsidR="005A7F4D">
        <w:t xml:space="preserve"> mag uitsluitend na voorafgaande toestemming van Opdrachtgever (i) een in de aanbesteding genoemde onderaannemer wijzigen of (ii) een nieuwe onderaannemer inschakelen. Opdrachtgever kan deze toestemming onder meer weigeren indien</w:t>
      </w:r>
      <w:r w:rsidR="00E9391B">
        <w:t>:</w:t>
      </w:r>
    </w:p>
    <w:p w14:paraId="288F4DCC" w14:textId="77777777" w:rsidR="00E9391B" w:rsidRDefault="00AC0106" w:rsidP="00E9391B">
      <w:pPr>
        <w:pStyle w:val="doLijstnummering7"/>
        <w:numPr>
          <w:ilvl w:val="2"/>
          <w:numId w:val="8"/>
        </w:numPr>
      </w:pPr>
      <w:r>
        <w:t xml:space="preserve">het </w:t>
      </w:r>
      <w:r w:rsidR="00D51F15">
        <w:t>Mensenrechten</w:t>
      </w:r>
      <w:r>
        <w:t>risico</w:t>
      </w:r>
      <w:r w:rsidR="00B303FA">
        <w:t xml:space="preserve"> als gevolg van de inschakeling van de onderaannemer naar alle waarschijnlijkheid</w:t>
      </w:r>
      <w:r w:rsidR="00E9391B">
        <w:t xml:space="preserve"> </w:t>
      </w:r>
      <w:r w:rsidR="00B303FA">
        <w:t>toeneemt;</w:t>
      </w:r>
    </w:p>
    <w:p w14:paraId="1CA8573D" w14:textId="77777777" w:rsidR="00B303FA" w:rsidRDefault="00B110E2" w:rsidP="00B303FA">
      <w:pPr>
        <w:pStyle w:val="doLijstnummering7"/>
        <w:numPr>
          <w:ilvl w:val="2"/>
          <w:numId w:val="8"/>
        </w:numPr>
      </w:pPr>
      <w:r>
        <w:t>het</w:t>
      </w:r>
      <w:r w:rsidR="00B303FA">
        <w:t xml:space="preserve"> Cyberveiligheid</w:t>
      </w:r>
      <w:r>
        <w:t>srisico</w:t>
      </w:r>
      <w:r w:rsidRPr="00B110E2">
        <w:t xml:space="preserve"> </w:t>
      </w:r>
      <w:r>
        <w:t>als gevolg van de inschakeling van de onderaannemer naar alle waarschijnlijkheid toeneemt</w:t>
      </w:r>
      <w:r w:rsidR="00B303FA">
        <w:t>;</w:t>
      </w:r>
    </w:p>
    <w:p w14:paraId="0127879F" w14:textId="77777777" w:rsidR="00B303FA" w:rsidRDefault="00B303FA" w:rsidP="00B303FA">
      <w:pPr>
        <w:pStyle w:val="doLijstnummering7"/>
        <w:numPr>
          <w:ilvl w:val="2"/>
          <w:numId w:val="8"/>
        </w:numPr>
      </w:pPr>
      <w:r>
        <w:t>een afhankelijkheid kan ontstaan van een door een buitenlandse overheid aangestuurde marktpartij.</w:t>
      </w:r>
    </w:p>
    <w:p w14:paraId="648A84AC" w14:textId="45726BF8" w:rsidR="00B303FA" w:rsidRDefault="00B303FA" w:rsidP="00B303FA">
      <w:pPr>
        <w:pStyle w:val="doLijstnummering7"/>
        <w:numPr>
          <w:ilvl w:val="1"/>
          <w:numId w:val="8"/>
        </w:numPr>
      </w:pPr>
      <w:r>
        <w:t xml:space="preserve">Aan het verlenen van </w:t>
      </w:r>
      <w:r w:rsidR="006A2496">
        <w:t xml:space="preserve">de </w:t>
      </w:r>
      <w:r>
        <w:t xml:space="preserve">toestemming </w:t>
      </w:r>
      <w:r w:rsidR="006A2496">
        <w:t xml:space="preserve">als bedoeld in het eerste lid </w:t>
      </w:r>
      <w:r>
        <w:t>kan Opdrachtgever voorwaarden verbinden</w:t>
      </w:r>
      <w:r w:rsidR="009D1A20">
        <w:t xml:space="preserve">, waaronder de voorwaarde dat van </w:t>
      </w:r>
      <w:r w:rsidR="00452FAE">
        <w:t>Leverancier</w:t>
      </w:r>
      <w:r w:rsidR="009D1A20">
        <w:t xml:space="preserve"> wordt verlangd een </w:t>
      </w:r>
      <w:r w:rsidR="006A2496">
        <w:t xml:space="preserve">(nieuw of aangepast) </w:t>
      </w:r>
      <w:r w:rsidR="009D1A20">
        <w:t>plan van aanpak op te stellen ter mitigatie van Mensenrechten</w:t>
      </w:r>
      <w:r w:rsidR="00AC0106">
        <w:t>risico’s</w:t>
      </w:r>
      <w:r w:rsidR="009D1A20">
        <w:t xml:space="preserve"> en Cyberveiligheid</w:t>
      </w:r>
      <w:r w:rsidR="00AC0106">
        <w:t>srisico’s</w:t>
      </w:r>
      <w:r w:rsidR="009D1A20">
        <w:t>, alsmede dat plan van aanpak uit te voeren</w:t>
      </w:r>
      <w:r>
        <w:t>.</w:t>
      </w:r>
    </w:p>
    <w:p w14:paraId="3110B73E" w14:textId="77777777" w:rsidR="006F47D9" w:rsidRDefault="006F47D9" w:rsidP="00B303FA">
      <w:pPr>
        <w:pStyle w:val="doLijstnummering7"/>
        <w:numPr>
          <w:ilvl w:val="1"/>
          <w:numId w:val="8"/>
        </w:numPr>
      </w:pPr>
      <w:r>
        <w:t>Onder de in dit artikel bedoelde onderaannemers vallen ook de fabrikanten van de camerasystemen.</w:t>
      </w:r>
    </w:p>
    <w:p w14:paraId="69529505" w14:textId="77D83F82" w:rsidR="00C426DC" w:rsidRPr="00C426DC" w:rsidRDefault="009D1A20" w:rsidP="004C1E61">
      <w:pPr>
        <w:pStyle w:val="doLijstnummering7"/>
        <w:numPr>
          <w:ilvl w:val="1"/>
          <w:numId w:val="8"/>
        </w:numPr>
      </w:pPr>
      <w:r>
        <w:t xml:space="preserve">De </w:t>
      </w:r>
      <w:r w:rsidRPr="004B3D8E">
        <w:rPr>
          <w:szCs w:val="18"/>
        </w:rPr>
        <w:t xml:space="preserve">door Opdrachtgever gegeven toestemming laat onverlet de verantwoordelijkheid en aansprakelijkheid van </w:t>
      </w:r>
      <w:r w:rsidR="00452FAE">
        <w:rPr>
          <w:szCs w:val="18"/>
        </w:rPr>
        <w:t>Leverancier</w:t>
      </w:r>
      <w:r w:rsidRPr="004B3D8E">
        <w:rPr>
          <w:szCs w:val="18"/>
        </w:rPr>
        <w:t xml:space="preserve"> voor de nakoming van de Overeenkomst.</w:t>
      </w:r>
    </w:p>
    <w:p w14:paraId="202BD64E" w14:textId="77777777" w:rsidR="00C426DC" w:rsidRPr="00C426DC" w:rsidRDefault="00C426DC" w:rsidP="00C426DC"/>
    <w:p w14:paraId="4CC940FB" w14:textId="77777777" w:rsidR="00C426DC" w:rsidRDefault="00C426DC" w:rsidP="00C426DC"/>
    <w:p w14:paraId="5FCEC46F" w14:textId="77777777" w:rsidR="00B165D1" w:rsidRPr="00C426DC" w:rsidRDefault="00C426DC" w:rsidP="00C426DC">
      <w:pPr>
        <w:tabs>
          <w:tab w:val="left" w:pos="3160"/>
        </w:tabs>
      </w:pPr>
      <w:r>
        <w:tab/>
      </w:r>
    </w:p>
    <w:sectPr w:rsidR="00B165D1" w:rsidRPr="00C426DC" w:rsidSect="00865B3C">
      <w:headerReference w:type="even" r:id="rId13"/>
      <w:headerReference w:type="default" r:id="rId14"/>
      <w:footerReference w:type="even" r:id="rId15"/>
      <w:footerReference w:type="default" r:id="rId16"/>
      <w:headerReference w:type="first" r:id="rId17"/>
      <w:footerReference w:type="first" r:id="rId18"/>
      <w:pgSz w:w="11906" w:h="16838" w:code="9"/>
      <w:pgMar w:top="1814" w:right="1389" w:bottom="1418" w:left="25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E68B3" w14:textId="77777777" w:rsidR="00E9615F" w:rsidRDefault="00E9615F" w:rsidP="00842C25">
      <w:pPr>
        <w:spacing w:line="240" w:lineRule="auto"/>
      </w:pPr>
      <w:r>
        <w:separator/>
      </w:r>
    </w:p>
  </w:endnote>
  <w:endnote w:type="continuationSeparator" w:id="0">
    <w:p w14:paraId="391C47C5" w14:textId="77777777" w:rsidR="00E9615F" w:rsidRDefault="00E9615F" w:rsidP="00842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FADA2" w14:textId="77777777" w:rsidR="00865B3C" w:rsidRDefault="00865B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950C" w14:textId="77777777" w:rsidR="00865B3C" w:rsidRDefault="00865B3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9738F" w14:textId="77777777" w:rsidR="00865B3C" w:rsidRDefault="00865B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17EB0" w14:textId="77777777" w:rsidR="00E9615F" w:rsidRDefault="00E9615F" w:rsidP="00842C25">
      <w:pPr>
        <w:spacing w:line="240" w:lineRule="auto"/>
      </w:pPr>
      <w:r>
        <w:separator/>
      </w:r>
    </w:p>
  </w:footnote>
  <w:footnote w:type="continuationSeparator" w:id="0">
    <w:p w14:paraId="12EF0BD3" w14:textId="77777777" w:rsidR="00E9615F" w:rsidRDefault="00E9615F" w:rsidP="00842C25">
      <w:pPr>
        <w:spacing w:line="240" w:lineRule="auto"/>
      </w:pPr>
      <w:r>
        <w:continuationSeparator/>
      </w:r>
    </w:p>
  </w:footnote>
  <w:footnote w:id="1">
    <w:p w14:paraId="050D6CE3" w14:textId="40164F0F" w:rsidR="001E4D0F" w:rsidRDefault="001E4D0F">
      <w:pPr>
        <w:pStyle w:val="Voetnoottekst"/>
      </w:pPr>
      <w:r>
        <w:rPr>
          <w:rStyle w:val="Voetnootmarkering"/>
        </w:rPr>
        <w:footnoteRef/>
      </w:r>
      <w:r>
        <w:t xml:space="preserve"> </w:t>
      </w:r>
      <w:r>
        <w:tab/>
        <w:t>Bij het opstellen van deze bepalingen is ervan uitgegaan dat deze bepalingen onderdeel zullen uitmaken van een overeenkomst waarbij camerasystemen worden afgenomen. Daar waar in deze voorwaarden “Overeenkomst” staat wordt gedoeld op deze overeenkomst.</w:t>
      </w:r>
    </w:p>
  </w:footnote>
  <w:footnote w:id="2">
    <w:p w14:paraId="3AC82537" w14:textId="65A20535" w:rsidR="006F29D2" w:rsidRDefault="006F29D2" w:rsidP="006F29D2">
      <w:pPr>
        <w:pStyle w:val="Voetnoottekst"/>
      </w:pPr>
      <w:r>
        <w:rPr>
          <w:rStyle w:val="Voetnootmarkering"/>
        </w:rPr>
        <w:footnoteRef/>
      </w:r>
      <w:r>
        <w:t xml:space="preserve"> </w:t>
      </w:r>
      <w:r>
        <w:tab/>
        <w:t>Bij het opstellen van deze voorwaarden is ervan uitgegaan dat elders in de Overeenkomst al algemene afspraken zijn gemaakt over het uitvoeren van een audit, zoals bijvoorbeeld vastgelegd in arti</w:t>
      </w:r>
      <w:r w:rsidR="00AA4ACE">
        <w:t>kel 21 van de GIBIT 2020. Beoogd</w:t>
      </w:r>
      <w:r>
        <w:t xml:space="preserve"> wordt naar zo’n artikel in deze bepaling te verwijzen. Als zo’n artikel geen onderdeel uitmaakt van de Overeenkomst, zal dat alsnog moeten worden opgesteld.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306C" w14:textId="77777777" w:rsidR="00865B3C" w:rsidRDefault="00865B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34BA" w14:textId="77777777" w:rsidR="00865B3C" w:rsidRDefault="00865B3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5991" w14:textId="77777777" w:rsidR="00865B3C" w:rsidRDefault="00865B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6B4"/>
    <w:multiLevelType w:val="multilevel"/>
    <w:tmpl w:val="D8143294"/>
    <w:lvl w:ilvl="0">
      <w:start w:val="1"/>
      <w:numFmt w:val="bullet"/>
      <w:pStyle w:val="doBullets1"/>
      <w:lvlText w:val=""/>
      <w:lvlJc w:val="left"/>
      <w:pPr>
        <w:ind w:left="851" w:hanging="851"/>
      </w:pPr>
      <w:rPr>
        <w:rFonts w:ascii="Symbol" w:hAnsi="Symbol" w:hint="default"/>
      </w:rPr>
    </w:lvl>
    <w:lvl w:ilvl="1">
      <w:start w:val="1"/>
      <w:numFmt w:val="bullet"/>
      <w:lvlText w:val="o"/>
      <w:lvlJc w:val="left"/>
      <w:pPr>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3402" w:hanging="850"/>
      </w:pPr>
      <w:rPr>
        <w:rFonts w:ascii="Symbol" w:hAnsi="Symbol" w:hint="default"/>
      </w:rPr>
    </w:lvl>
    <w:lvl w:ilvl="4">
      <w:start w:val="1"/>
      <w:numFmt w:val="bullet"/>
      <w:lvlText w:val="o"/>
      <w:lvlJc w:val="left"/>
      <w:pPr>
        <w:ind w:left="4253" w:hanging="851"/>
      </w:pPr>
      <w:rPr>
        <w:rFonts w:ascii="Courier New" w:hAnsi="Courier New" w:hint="default"/>
      </w:rPr>
    </w:lvl>
    <w:lvl w:ilvl="5">
      <w:start w:val="1"/>
      <w:numFmt w:val="bullet"/>
      <w:lvlText w:val=""/>
      <w:lvlJc w:val="left"/>
      <w:pPr>
        <w:ind w:left="5103" w:hanging="850"/>
      </w:pPr>
      <w:rPr>
        <w:rFonts w:ascii="Wingdings" w:hAnsi="Wingdings" w:hint="default"/>
      </w:rPr>
    </w:lvl>
    <w:lvl w:ilvl="6">
      <w:start w:val="1"/>
      <w:numFmt w:val="bullet"/>
      <w:lvlText w:val=""/>
      <w:lvlJc w:val="left"/>
      <w:pPr>
        <w:tabs>
          <w:tab w:val="num" w:pos="5103"/>
        </w:tabs>
        <w:ind w:left="5954" w:hanging="851"/>
      </w:pPr>
      <w:rPr>
        <w:rFonts w:ascii="Symbol" w:hAnsi="Symbol" w:hint="default"/>
      </w:rPr>
    </w:lvl>
    <w:lvl w:ilvl="7">
      <w:start w:val="1"/>
      <w:numFmt w:val="bullet"/>
      <w:lvlText w:val="o"/>
      <w:lvlJc w:val="left"/>
      <w:pPr>
        <w:tabs>
          <w:tab w:val="num" w:pos="5954"/>
        </w:tabs>
        <w:ind w:left="6804" w:hanging="850"/>
      </w:pPr>
      <w:rPr>
        <w:rFonts w:ascii="Courier New" w:hAnsi="Courier New" w:hint="default"/>
      </w:rPr>
    </w:lvl>
    <w:lvl w:ilvl="8">
      <w:start w:val="1"/>
      <w:numFmt w:val="bullet"/>
      <w:lvlText w:val=""/>
      <w:lvlJc w:val="left"/>
      <w:pPr>
        <w:ind w:left="7655" w:hanging="851"/>
      </w:pPr>
      <w:rPr>
        <w:rFonts w:ascii="Wingdings" w:hAnsi="Wingdings" w:hint="default"/>
      </w:rPr>
    </w:lvl>
  </w:abstractNum>
  <w:abstractNum w:abstractNumId="1" w15:restartNumberingAfterBreak="0">
    <w:nsid w:val="08583C5C"/>
    <w:multiLevelType w:val="multilevel"/>
    <w:tmpl w:val="A7CCEB94"/>
    <w:lvl w:ilvl="0">
      <w:start w:val="1"/>
      <w:numFmt w:val="decimal"/>
      <w:pStyle w:val="doLijstnummering7"/>
      <w:lvlText w:val="Artikel %1"/>
      <w:lvlJc w:val="left"/>
      <w:pPr>
        <w:tabs>
          <w:tab w:val="num" w:pos="851"/>
        </w:tabs>
        <w:ind w:left="851" w:hanging="851"/>
      </w:pPr>
      <w:rPr>
        <w:rFonts w:hint="default"/>
        <w:u w:val="single"/>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tabs>
          <w:tab w:val="num" w:pos="709"/>
        </w:tabs>
        <w:ind w:left="709" w:hanging="709"/>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2" w15:restartNumberingAfterBreak="0">
    <w:nsid w:val="0B3360A1"/>
    <w:multiLevelType w:val="multilevel"/>
    <w:tmpl w:val="E5AC878C"/>
    <w:lvl w:ilvl="0">
      <w:start w:val="1"/>
      <w:numFmt w:val="decimal"/>
      <w:pStyle w:val="Kop1"/>
      <w:lvlText w:val="%1"/>
      <w:lvlJc w:val="left"/>
      <w:pPr>
        <w:ind w:left="0" w:hanging="851"/>
      </w:pPr>
      <w:rPr>
        <w:rFonts w:hint="default"/>
      </w:rPr>
    </w:lvl>
    <w:lvl w:ilvl="1">
      <w:start w:val="1"/>
      <w:numFmt w:val="decimal"/>
      <w:pStyle w:val="Kop2"/>
      <w:lvlText w:val="%1.%2"/>
      <w:lvlJc w:val="left"/>
      <w:pPr>
        <w:ind w:left="0" w:hanging="851"/>
      </w:pPr>
      <w:rPr>
        <w:rFonts w:hint="default"/>
      </w:rPr>
    </w:lvl>
    <w:lvl w:ilvl="2">
      <w:start w:val="1"/>
      <w:numFmt w:val="decimal"/>
      <w:pStyle w:val="Kop3"/>
      <w:lvlText w:val="%1.%2.%3"/>
      <w:lvlJc w:val="left"/>
      <w:pPr>
        <w:ind w:left="0" w:hanging="851"/>
      </w:pPr>
      <w:rPr>
        <w:rFonts w:hint="default"/>
      </w:rPr>
    </w:lvl>
    <w:lvl w:ilvl="3">
      <w:start w:val="1"/>
      <w:numFmt w:val="decimal"/>
      <w:pStyle w:val="Kop4"/>
      <w:lvlText w:val="%1.%2.%3.%4"/>
      <w:lvlJc w:val="left"/>
      <w:pPr>
        <w:ind w:left="0" w:hanging="851"/>
      </w:pPr>
      <w:rPr>
        <w:rFonts w:hint="default"/>
      </w:rPr>
    </w:lvl>
    <w:lvl w:ilvl="4">
      <w:start w:val="1"/>
      <w:numFmt w:val="decimal"/>
      <w:pStyle w:val="Kop5"/>
      <w:lvlText w:val="%1.%2.%3.%4.%5"/>
      <w:lvlJc w:val="left"/>
      <w:pPr>
        <w:ind w:left="0" w:hanging="851"/>
      </w:pPr>
      <w:rPr>
        <w:rFonts w:hint="default"/>
      </w:rPr>
    </w:lvl>
    <w:lvl w:ilvl="5">
      <w:start w:val="1"/>
      <w:numFmt w:val="decimal"/>
      <w:pStyle w:val="Kop6"/>
      <w:lvlText w:val="%1.%2.%3.%4.%5.%6"/>
      <w:lvlJc w:val="left"/>
      <w:pPr>
        <w:ind w:left="0" w:hanging="851"/>
      </w:pPr>
      <w:rPr>
        <w:rFonts w:hint="default"/>
      </w:rPr>
    </w:lvl>
    <w:lvl w:ilvl="6">
      <w:start w:val="1"/>
      <w:numFmt w:val="decimal"/>
      <w:pStyle w:val="Kop7"/>
      <w:lvlText w:val="%1.%2.%3.%4.%5.%6.%7"/>
      <w:lvlJc w:val="left"/>
      <w:pPr>
        <w:ind w:left="0" w:hanging="851"/>
      </w:pPr>
      <w:rPr>
        <w:rFonts w:hint="default"/>
      </w:rPr>
    </w:lvl>
    <w:lvl w:ilvl="7">
      <w:start w:val="1"/>
      <w:numFmt w:val="decimal"/>
      <w:pStyle w:val="Kop8"/>
      <w:lvlText w:val="%1.%2.%3.%4.%5.%6.%7.%8"/>
      <w:lvlJc w:val="left"/>
      <w:pPr>
        <w:ind w:left="0" w:hanging="851"/>
      </w:pPr>
      <w:rPr>
        <w:rFonts w:hint="default"/>
      </w:rPr>
    </w:lvl>
    <w:lvl w:ilvl="8">
      <w:start w:val="1"/>
      <w:numFmt w:val="decimal"/>
      <w:pStyle w:val="Kop9"/>
      <w:lvlText w:val="%1.%2.%3.%4.%5.%6.%7.%8.%9"/>
      <w:lvlJc w:val="left"/>
      <w:pPr>
        <w:ind w:left="0" w:hanging="851"/>
      </w:pPr>
      <w:rPr>
        <w:rFonts w:hint="default"/>
      </w:rPr>
    </w:lvl>
  </w:abstractNum>
  <w:abstractNum w:abstractNumId="3" w15:restartNumberingAfterBreak="0">
    <w:nsid w:val="1CFD5B39"/>
    <w:multiLevelType w:val="hybridMultilevel"/>
    <w:tmpl w:val="96443052"/>
    <w:lvl w:ilvl="0" w:tplc="905EC9F6">
      <w:start w:val="1"/>
      <w:numFmt w:val="decimal"/>
      <w:pStyle w:val="doProducties"/>
      <w:lvlText w:val="Productie %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3824ED"/>
    <w:multiLevelType w:val="multilevel"/>
    <w:tmpl w:val="40008F20"/>
    <w:lvl w:ilvl="0">
      <w:start w:val="1"/>
      <w:numFmt w:val="lowerRoman"/>
      <w:pStyle w:val="doLijstnummering4"/>
      <w:lvlText w:val="%1."/>
      <w:lvlJc w:val="left"/>
      <w:pPr>
        <w:tabs>
          <w:tab w:val="num" w:pos="851"/>
        </w:tabs>
        <w:ind w:left="851" w:hanging="851"/>
      </w:pPr>
      <w:rPr>
        <w:rFonts w:hint="default"/>
      </w:rPr>
    </w:lvl>
    <w:lvl w:ilvl="1">
      <w:start w:val="1"/>
      <w:numFmt w:val="lowerRoman"/>
      <w:lvlText w:val="%1.%2."/>
      <w:lvlJc w:val="left"/>
      <w:pPr>
        <w:tabs>
          <w:tab w:val="num" w:pos="1702"/>
        </w:tabs>
        <w:ind w:left="1702" w:hanging="851"/>
      </w:pPr>
      <w:rPr>
        <w:rFonts w:hint="default"/>
      </w:rPr>
    </w:lvl>
    <w:lvl w:ilvl="2">
      <w:start w:val="1"/>
      <w:numFmt w:val="lowerRoman"/>
      <w:lvlText w:val="%1.%2.%3."/>
      <w:lvlJc w:val="left"/>
      <w:pPr>
        <w:tabs>
          <w:tab w:val="num" w:pos="2553"/>
        </w:tabs>
        <w:ind w:left="2553" w:hanging="851"/>
      </w:pPr>
      <w:rPr>
        <w:rFonts w:hint="default"/>
      </w:rPr>
    </w:lvl>
    <w:lvl w:ilvl="3">
      <w:start w:val="1"/>
      <w:numFmt w:val="lowerRoman"/>
      <w:lvlText w:val="%1.%2.%3.%4."/>
      <w:lvlJc w:val="left"/>
      <w:pPr>
        <w:tabs>
          <w:tab w:val="num" w:pos="3404"/>
        </w:tabs>
        <w:ind w:left="3404" w:hanging="851"/>
      </w:pPr>
      <w:rPr>
        <w:rFonts w:hint="default"/>
      </w:rPr>
    </w:lvl>
    <w:lvl w:ilvl="4">
      <w:start w:val="1"/>
      <w:numFmt w:val="lowerRoman"/>
      <w:lvlText w:val="%1.%2.%3.%4.%5."/>
      <w:lvlJc w:val="left"/>
      <w:pPr>
        <w:tabs>
          <w:tab w:val="num" w:pos="4255"/>
        </w:tabs>
        <w:ind w:left="4255" w:hanging="851"/>
      </w:pPr>
      <w:rPr>
        <w:rFonts w:hint="default"/>
      </w:rPr>
    </w:lvl>
    <w:lvl w:ilvl="5">
      <w:start w:val="1"/>
      <w:numFmt w:val="lowerRoman"/>
      <w:lvlText w:val="%1.%2.%3.%4.%5.%6."/>
      <w:lvlJc w:val="left"/>
      <w:pPr>
        <w:tabs>
          <w:tab w:val="num" w:pos="5106"/>
        </w:tabs>
        <w:ind w:left="5106" w:hanging="851"/>
      </w:pPr>
      <w:rPr>
        <w:rFonts w:hint="default"/>
      </w:rPr>
    </w:lvl>
    <w:lvl w:ilvl="6">
      <w:start w:val="1"/>
      <w:numFmt w:val="lowerRoman"/>
      <w:lvlText w:val="%1.%2.%3.%4.%5.%6.%7."/>
      <w:lvlJc w:val="left"/>
      <w:pPr>
        <w:tabs>
          <w:tab w:val="num" w:pos="5957"/>
        </w:tabs>
        <w:ind w:left="5957" w:hanging="851"/>
      </w:pPr>
      <w:rPr>
        <w:rFonts w:hint="default"/>
      </w:rPr>
    </w:lvl>
    <w:lvl w:ilvl="7">
      <w:start w:val="1"/>
      <w:numFmt w:val="lowerRoman"/>
      <w:lvlText w:val="%1.%2.%3.%4.%5.%6.%7.%8."/>
      <w:lvlJc w:val="left"/>
      <w:pPr>
        <w:tabs>
          <w:tab w:val="num" w:pos="6808"/>
        </w:tabs>
        <w:ind w:left="6808" w:hanging="851"/>
      </w:pPr>
      <w:rPr>
        <w:rFonts w:hint="default"/>
      </w:rPr>
    </w:lvl>
    <w:lvl w:ilvl="8">
      <w:start w:val="1"/>
      <w:numFmt w:val="lowerRoman"/>
      <w:lvlText w:val="%1.%2.%3.%4.%5.%6.%7.%8.%9."/>
      <w:lvlJc w:val="left"/>
      <w:pPr>
        <w:tabs>
          <w:tab w:val="num" w:pos="7659"/>
        </w:tabs>
        <w:ind w:left="7659" w:hanging="851"/>
      </w:pPr>
      <w:rPr>
        <w:rFonts w:hint="default"/>
      </w:rPr>
    </w:lvl>
  </w:abstractNum>
  <w:abstractNum w:abstractNumId="5" w15:restartNumberingAfterBreak="0">
    <w:nsid w:val="2AED79C3"/>
    <w:multiLevelType w:val="multilevel"/>
    <w:tmpl w:val="D364529C"/>
    <w:lvl w:ilvl="0">
      <w:start w:val="1"/>
      <w:numFmt w:val="upperLetter"/>
      <w:pStyle w:val="doLijstnummering1"/>
      <w:lvlText w:val="%1."/>
      <w:lvlJc w:val="left"/>
      <w:pPr>
        <w:tabs>
          <w:tab w:val="num" w:pos="851"/>
        </w:tabs>
        <w:ind w:left="851" w:hanging="851"/>
      </w:pPr>
      <w:rPr>
        <w:rFonts w:hint="default"/>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low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6" w15:restartNumberingAfterBreak="0">
    <w:nsid w:val="49C54687"/>
    <w:multiLevelType w:val="multilevel"/>
    <w:tmpl w:val="6D1E740C"/>
    <w:lvl w:ilvl="0">
      <w:start w:val="1"/>
      <w:numFmt w:val="decimal"/>
      <w:pStyle w:val="doStandaardgenummerd"/>
      <w:lvlText w:val="%1"/>
      <w:lvlJc w:val="left"/>
      <w:pPr>
        <w:tabs>
          <w:tab w:val="num" w:pos="709"/>
        </w:tabs>
        <w:ind w:left="709" w:hanging="709"/>
      </w:pPr>
      <w:rPr>
        <w:rFonts w:hint="default"/>
      </w:rPr>
    </w:lvl>
    <w:lvl w:ilvl="1">
      <w:start w:val="1"/>
      <w:numFmt w:val="decimal"/>
      <w:lvlText w:val="%2.%1"/>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7" w15:restartNumberingAfterBreak="0">
    <w:nsid w:val="56D2702E"/>
    <w:multiLevelType w:val="multilevel"/>
    <w:tmpl w:val="6A24513C"/>
    <w:lvl w:ilvl="0">
      <w:start w:val="1"/>
      <w:numFmt w:val="lowerLetter"/>
      <w:pStyle w:val="doGenummerdelijst"/>
      <w:lvlText w:val="(%1)"/>
      <w:lvlJc w:val="left"/>
      <w:pPr>
        <w:ind w:left="851" w:hanging="851"/>
      </w:pPr>
      <w:rPr>
        <w:rFonts w:hint="default"/>
      </w:rPr>
    </w:lvl>
    <w:lvl w:ilvl="1">
      <w:start w:val="1"/>
      <w:numFmt w:val="lowerRoman"/>
      <w:lvlText w:val="(%2)"/>
      <w:lvlJc w:val="left"/>
      <w:pPr>
        <w:ind w:left="1702" w:hanging="851"/>
      </w:pPr>
      <w:rPr>
        <w:rFonts w:hint="default"/>
      </w:rPr>
    </w:lvl>
    <w:lvl w:ilvl="2">
      <w:start w:val="1"/>
      <w:numFmt w:val="decimal"/>
      <w:lvlText w:val="(%3)"/>
      <w:lvlJc w:val="left"/>
      <w:pPr>
        <w:ind w:left="2553" w:hanging="851"/>
      </w:pPr>
      <w:rPr>
        <w:rFonts w:hint="default"/>
      </w:rPr>
    </w:lvl>
    <w:lvl w:ilvl="3">
      <w:start w:val="1"/>
      <w:numFmt w:val="bullet"/>
      <w:lvlText w:val=""/>
      <w:lvlJc w:val="left"/>
      <w:pPr>
        <w:ind w:left="3404" w:hanging="851"/>
      </w:pPr>
      <w:rPr>
        <w:rFonts w:ascii="Symbol" w:hAnsi="Symbol" w:hint="default"/>
      </w:rPr>
    </w:lvl>
    <w:lvl w:ilvl="4">
      <w:start w:val="1"/>
      <w:numFmt w:val="bullet"/>
      <w:lvlText w:val="o"/>
      <w:lvlJc w:val="left"/>
      <w:pPr>
        <w:ind w:left="4255" w:hanging="851"/>
      </w:pPr>
      <w:rPr>
        <w:rFonts w:ascii="Courier New" w:hAnsi="Courier New" w:hint="default"/>
      </w:rPr>
    </w:lvl>
    <w:lvl w:ilvl="5">
      <w:start w:val="1"/>
      <w:numFmt w:val="bullet"/>
      <w:lvlText w:val="-"/>
      <w:lvlJc w:val="left"/>
      <w:pPr>
        <w:ind w:left="5106" w:hanging="851"/>
      </w:pPr>
      <w:rPr>
        <w:rFonts w:ascii="Courier New" w:hAnsi="Courier New" w:hint="default"/>
      </w:rPr>
    </w:lvl>
    <w:lvl w:ilvl="6">
      <w:start w:val="1"/>
      <w:numFmt w:val="bullet"/>
      <w:lvlText w:val="-"/>
      <w:lvlJc w:val="left"/>
      <w:pPr>
        <w:ind w:left="5957" w:hanging="851"/>
      </w:pPr>
      <w:rPr>
        <w:rFonts w:ascii="Courier New" w:hAnsi="Courier New" w:hint="default"/>
      </w:rPr>
    </w:lvl>
    <w:lvl w:ilvl="7">
      <w:start w:val="1"/>
      <w:numFmt w:val="bullet"/>
      <w:lvlText w:val="-"/>
      <w:lvlJc w:val="left"/>
      <w:pPr>
        <w:ind w:left="6808" w:hanging="851"/>
      </w:pPr>
      <w:rPr>
        <w:rFonts w:ascii="Courier New" w:hAnsi="Courier New" w:hint="default"/>
      </w:rPr>
    </w:lvl>
    <w:lvl w:ilvl="8">
      <w:start w:val="1"/>
      <w:numFmt w:val="bullet"/>
      <w:lvlText w:val="-"/>
      <w:lvlJc w:val="left"/>
      <w:pPr>
        <w:ind w:left="7659" w:hanging="851"/>
      </w:pPr>
      <w:rPr>
        <w:rFonts w:ascii="Courier New" w:hAnsi="Courier New" w:hint="default"/>
      </w:rPr>
    </w:lvl>
  </w:abstractNum>
  <w:abstractNum w:abstractNumId="8" w15:restartNumberingAfterBreak="0">
    <w:nsid w:val="652E5F89"/>
    <w:multiLevelType w:val="multilevel"/>
    <w:tmpl w:val="26B2CF48"/>
    <w:lvl w:ilvl="0">
      <w:start w:val="1"/>
      <w:numFmt w:val="upperRoman"/>
      <w:pStyle w:val="doLijstnummering3"/>
      <w:lvlText w:val="%1."/>
      <w:lvlJc w:val="left"/>
      <w:pPr>
        <w:tabs>
          <w:tab w:val="num" w:pos="851"/>
        </w:tabs>
        <w:ind w:left="851" w:hanging="851"/>
      </w:pPr>
      <w:rPr>
        <w:rFonts w:hint="default"/>
      </w:rPr>
    </w:lvl>
    <w:lvl w:ilvl="1">
      <w:start w:val="1"/>
      <w:numFmt w:val="upperRoman"/>
      <w:lvlText w:val="%1.%2."/>
      <w:lvlJc w:val="left"/>
      <w:pPr>
        <w:tabs>
          <w:tab w:val="num" w:pos="1702"/>
        </w:tabs>
        <w:ind w:left="1702" w:hanging="851"/>
      </w:pPr>
      <w:rPr>
        <w:rFonts w:hint="default"/>
      </w:rPr>
    </w:lvl>
    <w:lvl w:ilvl="2">
      <w:start w:val="1"/>
      <w:numFmt w:val="upperRoman"/>
      <w:lvlText w:val="%1.%2.%3."/>
      <w:lvlJc w:val="left"/>
      <w:pPr>
        <w:tabs>
          <w:tab w:val="num" w:pos="2553"/>
        </w:tabs>
        <w:ind w:left="2553" w:hanging="851"/>
      </w:pPr>
      <w:rPr>
        <w:rFonts w:hint="default"/>
      </w:rPr>
    </w:lvl>
    <w:lvl w:ilvl="3">
      <w:start w:val="1"/>
      <w:numFmt w:val="upperRoman"/>
      <w:lvlText w:val="%1.%2.%3.%4."/>
      <w:lvlJc w:val="left"/>
      <w:pPr>
        <w:tabs>
          <w:tab w:val="num" w:pos="3404"/>
        </w:tabs>
        <w:ind w:left="3404" w:hanging="851"/>
      </w:pPr>
      <w:rPr>
        <w:rFonts w:hint="default"/>
      </w:rPr>
    </w:lvl>
    <w:lvl w:ilvl="4">
      <w:start w:val="1"/>
      <w:numFmt w:val="upperRoman"/>
      <w:lvlText w:val="%1.%2.%3.%4.%5."/>
      <w:lvlJc w:val="left"/>
      <w:pPr>
        <w:tabs>
          <w:tab w:val="num" w:pos="4255"/>
        </w:tabs>
        <w:ind w:left="4255" w:hanging="851"/>
      </w:pPr>
      <w:rPr>
        <w:rFonts w:hint="default"/>
      </w:rPr>
    </w:lvl>
    <w:lvl w:ilvl="5">
      <w:start w:val="1"/>
      <w:numFmt w:val="upperRoman"/>
      <w:lvlText w:val="%1.%2.%3.%4.%5.%6."/>
      <w:lvlJc w:val="left"/>
      <w:pPr>
        <w:tabs>
          <w:tab w:val="num" w:pos="5106"/>
        </w:tabs>
        <w:ind w:left="5106" w:hanging="851"/>
      </w:pPr>
      <w:rPr>
        <w:rFonts w:hint="default"/>
      </w:rPr>
    </w:lvl>
    <w:lvl w:ilvl="6">
      <w:start w:val="1"/>
      <w:numFmt w:val="upperRoman"/>
      <w:lvlText w:val="%1.%2.%3.%4.%5.%6.%7."/>
      <w:lvlJc w:val="left"/>
      <w:pPr>
        <w:tabs>
          <w:tab w:val="num" w:pos="5957"/>
        </w:tabs>
        <w:ind w:left="5957" w:hanging="851"/>
      </w:pPr>
      <w:rPr>
        <w:rFonts w:hint="default"/>
      </w:rPr>
    </w:lvl>
    <w:lvl w:ilvl="7">
      <w:start w:val="1"/>
      <w:numFmt w:val="upperRoman"/>
      <w:lvlText w:val="%1.%2.%3.%4.%5.%6.%7.%8."/>
      <w:lvlJc w:val="left"/>
      <w:pPr>
        <w:tabs>
          <w:tab w:val="num" w:pos="6808"/>
        </w:tabs>
        <w:ind w:left="6808" w:hanging="851"/>
      </w:pPr>
      <w:rPr>
        <w:rFonts w:hint="default"/>
      </w:rPr>
    </w:lvl>
    <w:lvl w:ilvl="8">
      <w:start w:val="1"/>
      <w:numFmt w:val="upperRoman"/>
      <w:lvlText w:val="%1.%2.%3.%4.%5.%6.%7.%8.%9."/>
      <w:lvlJc w:val="left"/>
      <w:pPr>
        <w:tabs>
          <w:tab w:val="num" w:pos="7659"/>
        </w:tabs>
        <w:ind w:left="7659" w:hanging="851"/>
      </w:pPr>
      <w:rPr>
        <w:rFonts w:hint="default"/>
      </w:rPr>
    </w:lvl>
  </w:abstractNum>
  <w:abstractNum w:abstractNumId="9" w15:restartNumberingAfterBreak="0">
    <w:nsid w:val="68490AFA"/>
    <w:multiLevelType w:val="multilevel"/>
    <w:tmpl w:val="BC48B97C"/>
    <w:lvl w:ilvl="0">
      <w:start w:val="1"/>
      <w:numFmt w:val="decimal"/>
      <w:pStyle w:val="doLijstnummering5"/>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0" w15:restartNumberingAfterBreak="0">
    <w:nsid w:val="7A9B4E1A"/>
    <w:multiLevelType w:val="multilevel"/>
    <w:tmpl w:val="3E9079BE"/>
    <w:lvl w:ilvl="0">
      <w:start w:val="1"/>
      <w:numFmt w:val="lowerLetter"/>
      <w:pStyle w:val="doLijstnummering2"/>
      <w:lvlText w:val="%1."/>
      <w:lvlJc w:val="left"/>
      <w:pPr>
        <w:tabs>
          <w:tab w:val="num" w:pos="851"/>
        </w:tabs>
        <w:ind w:left="851" w:hanging="851"/>
      </w:pPr>
      <w:rPr>
        <w:rFonts w:hint="default"/>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low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num w:numId="1">
    <w:abstractNumId w:val="0"/>
  </w:num>
  <w:num w:numId="2">
    <w:abstractNumId w:val="7"/>
  </w:num>
  <w:num w:numId="3">
    <w:abstractNumId w:val="5"/>
  </w:num>
  <w:num w:numId="4">
    <w:abstractNumId w:val="10"/>
  </w:num>
  <w:num w:numId="5">
    <w:abstractNumId w:val="8"/>
  </w:num>
  <w:num w:numId="6">
    <w:abstractNumId w:val="4"/>
  </w:num>
  <w:num w:numId="7">
    <w:abstractNumId w:val="9"/>
  </w:num>
  <w:num w:numId="8">
    <w:abstractNumId w:val="1"/>
  </w:num>
  <w:num w:numId="9">
    <w:abstractNumId w:val="3"/>
  </w:num>
  <w:num w:numId="10">
    <w:abstractNumId w:val="6"/>
  </w:num>
  <w:num w:numId="11">
    <w:abstractNumId w:val="2"/>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0"/>
    <w:docVar w:name="pcAppliesTo" w:val="0"/>
  </w:docVars>
  <w:rsids>
    <w:rsidRoot w:val="00C426DC"/>
    <w:rsid w:val="000011AB"/>
    <w:rsid w:val="00006E0F"/>
    <w:rsid w:val="0001158A"/>
    <w:rsid w:val="00023516"/>
    <w:rsid w:val="000264DA"/>
    <w:rsid w:val="000270A1"/>
    <w:rsid w:val="00030482"/>
    <w:rsid w:val="0003143E"/>
    <w:rsid w:val="00032EBD"/>
    <w:rsid w:val="00051B34"/>
    <w:rsid w:val="00055E5D"/>
    <w:rsid w:val="00057574"/>
    <w:rsid w:val="0005776E"/>
    <w:rsid w:val="00065464"/>
    <w:rsid w:val="000715CE"/>
    <w:rsid w:val="000757E7"/>
    <w:rsid w:val="00076590"/>
    <w:rsid w:val="00084B9C"/>
    <w:rsid w:val="00086C89"/>
    <w:rsid w:val="000A1F46"/>
    <w:rsid w:val="000A265B"/>
    <w:rsid w:val="000A3181"/>
    <w:rsid w:val="000A7196"/>
    <w:rsid w:val="000C1F0F"/>
    <w:rsid w:val="000C2E24"/>
    <w:rsid w:val="000C7215"/>
    <w:rsid w:val="000D053E"/>
    <w:rsid w:val="000D4380"/>
    <w:rsid w:val="000D5F23"/>
    <w:rsid w:val="000D6BFE"/>
    <w:rsid w:val="000E25B6"/>
    <w:rsid w:val="000E2758"/>
    <w:rsid w:val="000E4A09"/>
    <w:rsid w:val="000F0ECC"/>
    <w:rsid w:val="000F2CF2"/>
    <w:rsid w:val="000F3B28"/>
    <w:rsid w:val="000F58D8"/>
    <w:rsid w:val="000F5CCD"/>
    <w:rsid w:val="00100535"/>
    <w:rsid w:val="00102D40"/>
    <w:rsid w:val="0012186D"/>
    <w:rsid w:val="0013222C"/>
    <w:rsid w:val="00146CF6"/>
    <w:rsid w:val="001479E7"/>
    <w:rsid w:val="00155301"/>
    <w:rsid w:val="001605E9"/>
    <w:rsid w:val="001643B3"/>
    <w:rsid w:val="00167A0A"/>
    <w:rsid w:val="00175515"/>
    <w:rsid w:val="00176CA7"/>
    <w:rsid w:val="00180AF9"/>
    <w:rsid w:val="0018426B"/>
    <w:rsid w:val="00193D34"/>
    <w:rsid w:val="001A33EA"/>
    <w:rsid w:val="001A4DFA"/>
    <w:rsid w:val="001A5274"/>
    <w:rsid w:val="001B0448"/>
    <w:rsid w:val="001B1D0A"/>
    <w:rsid w:val="001B3BC7"/>
    <w:rsid w:val="001B72DD"/>
    <w:rsid w:val="001C3F41"/>
    <w:rsid w:val="001C41E6"/>
    <w:rsid w:val="001C49B9"/>
    <w:rsid w:val="001D06B7"/>
    <w:rsid w:val="001D431E"/>
    <w:rsid w:val="001D642C"/>
    <w:rsid w:val="001D69CD"/>
    <w:rsid w:val="001E4D0F"/>
    <w:rsid w:val="001E7ED7"/>
    <w:rsid w:val="001F1626"/>
    <w:rsid w:val="001F26A3"/>
    <w:rsid w:val="001F4EB9"/>
    <w:rsid w:val="00200757"/>
    <w:rsid w:val="0020299B"/>
    <w:rsid w:val="00207856"/>
    <w:rsid w:val="00211B68"/>
    <w:rsid w:val="0022265D"/>
    <w:rsid w:val="002318A4"/>
    <w:rsid w:val="00231CBD"/>
    <w:rsid w:val="00250017"/>
    <w:rsid w:val="00253484"/>
    <w:rsid w:val="002536F6"/>
    <w:rsid w:val="002624F1"/>
    <w:rsid w:val="002664D5"/>
    <w:rsid w:val="00270419"/>
    <w:rsid w:val="00272BAD"/>
    <w:rsid w:val="0028304F"/>
    <w:rsid w:val="002857AB"/>
    <w:rsid w:val="00287DF8"/>
    <w:rsid w:val="00290FAF"/>
    <w:rsid w:val="00292A84"/>
    <w:rsid w:val="00295A9E"/>
    <w:rsid w:val="002A31D2"/>
    <w:rsid w:val="002A62AB"/>
    <w:rsid w:val="002B0120"/>
    <w:rsid w:val="002B38DC"/>
    <w:rsid w:val="002C05B6"/>
    <w:rsid w:val="002C0E11"/>
    <w:rsid w:val="002C5305"/>
    <w:rsid w:val="002C7FDE"/>
    <w:rsid w:val="002D25BC"/>
    <w:rsid w:val="002D406E"/>
    <w:rsid w:val="002D5BC0"/>
    <w:rsid w:val="002E188C"/>
    <w:rsid w:val="002F45A5"/>
    <w:rsid w:val="002F464B"/>
    <w:rsid w:val="003038C8"/>
    <w:rsid w:val="003077D4"/>
    <w:rsid w:val="00307F50"/>
    <w:rsid w:val="00311B60"/>
    <w:rsid w:val="0031472A"/>
    <w:rsid w:val="00314B2C"/>
    <w:rsid w:val="00320CB6"/>
    <w:rsid w:val="00323785"/>
    <w:rsid w:val="00326029"/>
    <w:rsid w:val="00327773"/>
    <w:rsid w:val="00327B04"/>
    <w:rsid w:val="00331FCF"/>
    <w:rsid w:val="00334CBC"/>
    <w:rsid w:val="00341FA9"/>
    <w:rsid w:val="00343D79"/>
    <w:rsid w:val="003568F4"/>
    <w:rsid w:val="003629EA"/>
    <w:rsid w:val="00362E87"/>
    <w:rsid w:val="0036684B"/>
    <w:rsid w:val="00373388"/>
    <w:rsid w:val="0037792B"/>
    <w:rsid w:val="003859D7"/>
    <w:rsid w:val="00386AD6"/>
    <w:rsid w:val="003874E8"/>
    <w:rsid w:val="0038757C"/>
    <w:rsid w:val="00392F4A"/>
    <w:rsid w:val="00393958"/>
    <w:rsid w:val="003953F3"/>
    <w:rsid w:val="003A7A8D"/>
    <w:rsid w:val="003B1BDC"/>
    <w:rsid w:val="003B5E44"/>
    <w:rsid w:val="003C518A"/>
    <w:rsid w:val="003C659D"/>
    <w:rsid w:val="003D79B5"/>
    <w:rsid w:val="003E1296"/>
    <w:rsid w:val="003E1C02"/>
    <w:rsid w:val="003F64B4"/>
    <w:rsid w:val="00406465"/>
    <w:rsid w:val="00414E32"/>
    <w:rsid w:val="00416C43"/>
    <w:rsid w:val="00416DB0"/>
    <w:rsid w:val="00422476"/>
    <w:rsid w:val="00426B9A"/>
    <w:rsid w:val="00427549"/>
    <w:rsid w:val="00445AB2"/>
    <w:rsid w:val="00446433"/>
    <w:rsid w:val="00452FAE"/>
    <w:rsid w:val="004543C2"/>
    <w:rsid w:val="00460427"/>
    <w:rsid w:val="004826E9"/>
    <w:rsid w:val="00483840"/>
    <w:rsid w:val="00486178"/>
    <w:rsid w:val="004B1F7D"/>
    <w:rsid w:val="004B3D8E"/>
    <w:rsid w:val="004B52D6"/>
    <w:rsid w:val="004B63C1"/>
    <w:rsid w:val="004B6A32"/>
    <w:rsid w:val="004D406D"/>
    <w:rsid w:val="004D520C"/>
    <w:rsid w:val="004E3E64"/>
    <w:rsid w:val="004E786B"/>
    <w:rsid w:val="004F1598"/>
    <w:rsid w:val="004F268C"/>
    <w:rsid w:val="004F38DE"/>
    <w:rsid w:val="004F406E"/>
    <w:rsid w:val="00512CA8"/>
    <w:rsid w:val="005155B8"/>
    <w:rsid w:val="00517B35"/>
    <w:rsid w:val="00521255"/>
    <w:rsid w:val="00533011"/>
    <w:rsid w:val="00537882"/>
    <w:rsid w:val="00544163"/>
    <w:rsid w:val="0056618F"/>
    <w:rsid w:val="005767F0"/>
    <w:rsid w:val="00576C07"/>
    <w:rsid w:val="005775C8"/>
    <w:rsid w:val="0058178E"/>
    <w:rsid w:val="00583A53"/>
    <w:rsid w:val="00586B1B"/>
    <w:rsid w:val="00590F2A"/>
    <w:rsid w:val="005911B1"/>
    <w:rsid w:val="0059347E"/>
    <w:rsid w:val="00594864"/>
    <w:rsid w:val="00594BCE"/>
    <w:rsid w:val="005A20FF"/>
    <w:rsid w:val="005A248F"/>
    <w:rsid w:val="005A24FC"/>
    <w:rsid w:val="005A42DD"/>
    <w:rsid w:val="005A7F4D"/>
    <w:rsid w:val="005B03F2"/>
    <w:rsid w:val="005B3048"/>
    <w:rsid w:val="005B7FD2"/>
    <w:rsid w:val="005C4FD8"/>
    <w:rsid w:val="005C6464"/>
    <w:rsid w:val="005C73C6"/>
    <w:rsid w:val="005D504A"/>
    <w:rsid w:val="005E299F"/>
    <w:rsid w:val="005E429B"/>
    <w:rsid w:val="005F4DF1"/>
    <w:rsid w:val="005F6433"/>
    <w:rsid w:val="00601942"/>
    <w:rsid w:val="006036E2"/>
    <w:rsid w:val="00605975"/>
    <w:rsid w:val="00606A62"/>
    <w:rsid w:val="00612BFB"/>
    <w:rsid w:val="00624B8B"/>
    <w:rsid w:val="00625907"/>
    <w:rsid w:val="00631A67"/>
    <w:rsid w:val="00635C20"/>
    <w:rsid w:val="006374F4"/>
    <w:rsid w:val="00646402"/>
    <w:rsid w:val="0064798B"/>
    <w:rsid w:val="0065085A"/>
    <w:rsid w:val="00653F30"/>
    <w:rsid w:val="00654FAB"/>
    <w:rsid w:val="006561E8"/>
    <w:rsid w:val="00656AF5"/>
    <w:rsid w:val="00657299"/>
    <w:rsid w:val="00665DF1"/>
    <w:rsid w:val="00667C2B"/>
    <w:rsid w:val="00674D4B"/>
    <w:rsid w:val="006769B4"/>
    <w:rsid w:val="00677055"/>
    <w:rsid w:val="00681D8F"/>
    <w:rsid w:val="00693A6F"/>
    <w:rsid w:val="006A2496"/>
    <w:rsid w:val="006A7C64"/>
    <w:rsid w:val="006B19D3"/>
    <w:rsid w:val="006C2A74"/>
    <w:rsid w:val="006D0ECD"/>
    <w:rsid w:val="006D1017"/>
    <w:rsid w:val="006D356A"/>
    <w:rsid w:val="006E4AB9"/>
    <w:rsid w:val="006E752D"/>
    <w:rsid w:val="006F29D2"/>
    <w:rsid w:val="006F47D9"/>
    <w:rsid w:val="00705CEE"/>
    <w:rsid w:val="00721BAD"/>
    <w:rsid w:val="0072220A"/>
    <w:rsid w:val="00733B44"/>
    <w:rsid w:val="00736933"/>
    <w:rsid w:val="00737A73"/>
    <w:rsid w:val="00740DE3"/>
    <w:rsid w:val="00743768"/>
    <w:rsid w:val="00743915"/>
    <w:rsid w:val="00743A01"/>
    <w:rsid w:val="00750A2E"/>
    <w:rsid w:val="00751F7B"/>
    <w:rsid w:val="00752ABA"/>
    <w:rsid w:val="00755862"/>
    <w:rsid w:val="00756A24"/>
    <w:rsid w:val="0077242A"/>
    <w:rsid w:val="00782726"/>
    <w:rsid w:val="00784B4E"/>
    <w:rsid w:val="00790CBB"/>
    <w:rsid w:val="00792BD2"/>
    <w:rsid w:val="007A045C"/>
    <w:rsid w:val="007A69C8"/>
    <w:rsid w:val="007A7320"/>
    <w:rsid w:val="007B6AF4"/>
    <w:rsid w:val="007B6B44"/>
    <w:rsid w:val="007C0A94"/>
    <w:rsid w:val="007C1FFE"/>
    <w:rsid w:val="007C41FD"/>
    <w:rsid w:val="007C7B4A"/>
    <w:rsid w:val="007D326B"/>
    <w:rsid w:val="007D36AE"/>
    <w:rsid w:val="007D3703"/>
    <w:rsid w:val="007D44A3"/>
    <w:rsid w:val="007E252E"/>
    <w:rsid w:val="007E4257"/>
    <w:rsid w:val="007F11A4"/>
    <w:rsid w:val="007F29B3"/>
    <w:rsid w:val="007F44A9"/>
    <w:rsid w:val="007F66AC"/>
    <w:rsid w:val="007F720F"/>
    <w:rsid w:val="00807648"/>
    <w:rsid w:val="00813E8F"/>
    <w:rsid w:val="008140AF"/>
    <w:rsid w:val="008201D7"/>
    <w:rsid w:val="00822E08"/>
    <w:rsid w:val="00825A8D"/>
    <w:rsid w:val="00834F30"/>
    <w:rsid w:val="008369B1"/>
    <w:rsid w:val="00842C25"/>
    <w:rsid w:val="00842D33"/>
    <w:rsid w:val="008479A4"/>
    <w:rsid w:val="00852B00"/>
    <w:rsid w:val="008608D8"/>
    <w:rsid w:val="00861C6C"/>
    <w:rsid w:val="00865B3C"/>
    <w:rsid w:val="00881615"/>
    <w:rsid w:val="00890759"/>
    <w:rsid w:val="00896AED"/>
    <w:rsid w:val="008A0227"/>
    <w:rsid w:val="008A7593"/>
    <w:rsid w:val="008B0021"/>
    <w:rsid w:val="008C0DA7"/>
    <w:rsid w:val="008C4CE7"/>
    <w:rsid w:val="008D2827"/>
    <w:rsid w:val="008D3110"/>
    <w:rsid w:val="008D31F9"/>
    <w:rsid w:val="008E09D7"/>
    <w:rsid w:val="008E3CDB"/>
    <w:rsid w:val="008E4DE0"/>
    <w:rsid w:val="008F0981"/>
    <w:rsid w:val="008F49A9"/>
    <w:rsid w:val="008F4EDB"/>
    <w:rsid w:val="00911DF2"/>
    <w:rsid w:val="00914763"/>
    <w:rsid w:val="0091539E"/>
    <w:rsid w:val="009203B3"/>
    <w:rsid w:val="00925056"/>
    <w:rsid w:val="00925725"/>
    <w:rsid w:val="00926946"/>
    <w:rsid w:val="0095409E"/>
    <w:rsid w:val="00961C38"/>
    <w:rsid w:val="00962EC2"/>
    <w:rsid w:val="00970311"/>
    <w:rsid w:val="0097799F"/>
    <w:rsid w:val="00987969"/>
    <w:rsid w:val="0099033D"/>
    <w:rsid w:val="009A3B77"/>
    <w:rsid w:val="009A7B7D"/>
    <w:rsid w:val="009B7425"/>
    <w:rsid w:val="009C75FE"/>
    <w:rsid w:val="009D1A20"/>
    <w:rsid w:val="009D6D5D"/>
    <w:rsid w:val="009D6DC7"/>
    <w:rsid w:val="009E5004"/>
    <w:rsid w:val="009E6636"/>
    <w:rsid w:val="009F0C73"/>
    <w:rsid w:val="00A009D3"/>
    <w:rsid w:val="00A07182"/>
    <w:rsid w:val="00A1194E"/>
    <w:rsid w:val="00A143E6"/>
    <w:rsid w:val="00A148AA"/>
    <w:rsid w:val="00A27A08"/>
    <w:rsid w:val="00A3005A"/>
    <w:rsid w:val="00A30869"/>
    <w:rsid w:val="00A30CD8"/>
    <w:rsid w:val="00A423D4"/>
    <w:rsid w:val="00A456F7"/>
    <w:rsid w:val="00A46112"/>
    <w:rsid w:val="00A51CFE"/>
    <w:rsid w:val="00A7694B"/>
    <w:rsid w:val="00A8294D"/>
    <w:rsid w:val="00A9004C"/>
    <w:rsid w:val="00A97E12"/>
    <w:rsid w:val="00AA14E8"/>
    <w:rsid w:val="00AA312E"/>
    <w:rsid w:val="00AA4ACE"/>
    <w:rsid w:val="00AA70D6"/>
    <w:rsid w:val="00AB1818"/>
    <w:rsid w:val="00AB183C"/>
    <w:rsid w:val="00AC0106"/>
    <w:rsid w:val="00AC1060"/>
    <w:rsid w:val="00AD2C8A"/>
    <w:rsid w:val="00AD62B6"/>
    <w:rsid w:val="00AE1406"/>
    <w:rsid w:val="00AF15E8"/>
    <w:rsid w:val="00AF3CE3"/>
    <w:rsid w:val="00AF47C4"/>
    <w:rsid w:val="00AF7AE8"/>
    <w:rsid w:val="00AF7C29"/>
    <w:rsid w:val="00B029D8"/>
    <w:rsid w:val="00B03D05"/>
    <w:rsid w:val="00B110E2"/>
    <w:rsid w:val="00B13B21"/>
    <w:rsid w:val="00B15023"/>
    <w:rsid w:val="00B165D1"/>
    <w:rsid w:val="00B167F8"/>
    <w:rsid w:val="00B2171E"/>
    <w:rsid w:val="00B26216"/>
    <w:rsid w:val="00B303FA"/>
    <w:rsid w:val="00B36E54"/>
    <w:rsid w:val="00B43B91"/>
    <w:rsid w:val="00B5071C"/>
    <w:rsid w:val="00B532C4"/>
    <w:rsid w:val="00B5789B"/>
    <w:rsid w:val="00B601AA"/>
    <w:rsid w:val="00B622B4"/>
    <w:rsid w:val="00B63390"/>
    <w:rsid w:val="00B639E3"/>
    <w:rsid w:val="00B708AF"/>
    <w:rsid w:val="00B724F0"/>
    <w:rsid w:val="00B770F4"/>
    <w:rsid w:val="00B806FC"/>
    <w:rsid w:val="00B90C46"/>
    <w:rsid w:val="00B91486"/>
    <w:rsid w:val="00B95C44"/>
    <w:rsid w:val="00B96D33"/>
    <w:rsid w:val="00BA5F49"/>
    <w:rsid w:val="00BA7B25"/>
    <w:rsid w:val="00BB1354"/>
    <w:rsid w:val="00BC654F"/>
    <w:rsid w:val="00BD3CF6"/>
    <w:rsid w:val="00BD7613"/>
    <w:rsid w:val="00BE00CA"/>
    <w:rsid w:val="00BE0BCA"/>
    <w:rsid w:val="00BE1E79"/>
    <w:rsid w:val="00BE23F5"/>
    <w:rsid w:val="00BE49AD"/>
    <w:rsid w:val="00BE4DE6"/>
    <w:rsid w:val="00C061B2"/>
    <w:rsid w:val="00C229D6"/>
    <w:rsid w:val="00C31543"/>
    <w:rsid w:val="00C3255A"/>
    <w:rsid w:val="00C358C2"/>
    <w:rsid w:val="00C37A20"/>
    <w:rsid w:val="00C426DC"/>
    <w:rsid w:val="00C46E3A"/>
    <w:rsid w:val="00C53AF2"/>
    <w:rsid w:val="00C63867"/>
    <w:rsid w:val="00C64495"/>
    <w:rsid w:val="00C661EA"/>
    <w:rsid w:val="00C7010D"/>
    <w:rsid w:val="00C71D5D"/>
    <w:rsid w:val="00C7210D"/>
    <w:rsid w:val="00C73B2E"/>
    <w:rsid w:val="00C87B0C"/>
    <w:rsid w:val="00C918E1"/>
    <w:rsid w:val="00C96C20"/>
    <w:rsid w:val="00CA120C"/>
    <w:rsid w:val="00CA54EB"/>
    <w:rsid w:val="00CA589E"/>
    <w:rsid w:val="00CB0739"/>
    <w:rsid w:val="00CB0FE5"/>
    <w:rsid w:val="00CB4CAF"/>
    <w:rsid w:val="00CD23E2"/>
    <w:rsid w:val="00CF496A"/>
    <w:rsid w:val="00CF5F6A"/>
    <w:rsid w:val="00D0227D"/>
    <w:rsid w:val="00D03A75"/>
    <w:rsid w:val="00D0698C"/>
    <w:rsid w:val="00D07023"/>
    <w:rsid w:val="00D12FA4"/>
    <w:rsid w:val="00D25E08"/>
    <w:rsid w:val="00D34F6A"/>
    <w:rsid w:val="00D3780D"/>
    <w:rsid w:val="00D46C6A"/>
    <w:rsid w:val="00D50757"/>
    <w:rsid w:val="00D50B05"/>
    <w:rsid w:val="00D51556"/>
    <w:rsid w:val="00D51F15"/>
    <w:rsid w:val="00D757EB"/>
    <w:rsid w:val="00D76C9F"/>
    <w:rsid w:val="00D836E9"/>
    <w:rsid w:val="00D92232"/>
    <w:rsid w:val="00D93C6A"/>
    <w:rsid w:val="00D9492D"/>
    <w:rsid w:val="00DA1B4E"/>
    <w:rsid w:val="00DB4E35"/>
    <w:rsid w:val="00DC0302"/>
    <w:rsid w:val="00DC6BF0"/>
    <w:rsid w:val="00DD3760"/>
    <w:rsid w:val="00DD6652"/>
    <w:rsid w:val="00DF0891"/>
    <w:rsid w:val="00DF0A7A"/>
    <w:rsid w:val="00DF626E"/>
    <w:rsid w:val="00E054E0"/>
    <w:rsid w:val="00E15E25"/>
    <w:rsid w:val="00E16675"/>
    <w:rsid w:val="00E3105A"/>
    <w:rsid w:val="00E37869"/>
    <w:rsid w:val="00E438C3"/>
    <w:rsid w:val="00E46762"/>
    <w:rsid w:val="00E528F1"/>
    <w:rsid w:val="00E52D1E"/>
    <w:rsid w:val="00E538EF"/>
    <w:rsid w:val="00E56281"/>
    <w:rsid w:val="00E62191"/>
    <w:rsid w:val="00E80C20"/>
    <w:rsid w:val="00E87877"/>
    <w:rsid w:val="00E9391B"/>
    <w:rsid w:val="00E9615F"/>
    <w:rsid w:val="00EA03C8"/>
    <w:rsid w:val="00EA3300"/>
    <w:rsid w:val="00EA6269"/>
    <w:rsid w:val="00EA700A"/>
    <w:rsid w:val="00EA7F1E"/>
    <w:rsid w:val="00EB6152"/>
    <w:rsid w:val="00EC0A93"/>
    <w:rsid w:val="00EC4491"/>
    <w:rsid w:val="00EC5A94"/>
    <w:rsid w:val="00ED452B"/>
    <w:rsid w:val="00EE0ED3"/>
    <w:rsid w:val="00EE2091"/>
    <w:rsid w:val="00EE26DB"/>
    <w:rsid w:val="00EE2875"/>
    <w:rsid w:val="00EE2971"/>
    <w:rsid w:val="00EE4DC6"/>
    <w:rsid w:val="00EF0023"/>
    <w:rsid w:val="00F10D3C"/>
    <w:rsid w:val="00F12331"/>
    <w:rsid w:val="00F20B6D"/>
    <w:rsid w:val="00F2267B"/>
    <w:rsid w:val="00F3078D"/>
    <w:rsid w:val="00F31A1F"/>
    <w:rsid w:val="00F352E4"/>
    <w:rsid w:val="00F47D52"/>
    <w:rsid w:val="00F534E6"/>
    <w:rsid w:val="00F55C74"/>
    <w:rsid w:val="00F60EE9"/>
    <w:rsid w:val="00F615E5"/>
    <w:rsid w:val="00F62E16"/>
    <w:rsid w:val="00F80C35"/>
    <w:rsid w:val="00F84FDA"/>
    <w:rsid w:val="00F85A7B"/>
    <w:rsid w:val="00F86787"/>
    <w:rsid w:val="00F964FB"/>
    <w:rsid w:val="00F96BBB"/>
    <w:rsid w:val="00FA0FEE"/>
    <w:rsid w:val="00FA7CE9"/>
    <w:rsid w:val="00FB2A8D"/>
    <w:rsid w:val="00FC0EFB"/>
    <w:rsid w:val="00FC4086"/>
    <w:rsid w:val="00FC5AE0"/>
    <w:rsid w:val="00FD12A2"/>
    <w:rsid w:val="00FD1772"/>
    <w:rsid w:val="00FD40CE"/>
    <w:rsid w:val="00FD7B4A"/>
    <w:rsid w:val="00FE0BC2"/>
    <w:rsid w:val="00FF2455"/>
    <w:rsid w:val="00FF3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5B0055"/>
  <w15:chartTrackingRefBased/>
  <w15:docId w15:val="{FA5ED4FA-1904-4EAD-9282-CEF062F6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nl-NL" w:eastAsia="en-US" w:bidi="ar-SA"/>
      </w:rPr>
    </w:rPrDefault>
    <w:pPrDefault>
      <w:pPr>
        <w:spacing w:after="210" w:line="30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3D05"/>
    <w:pPr>
      <w:spacing w:after="0"/>
      <w:jc w:val="left"/>
    </w:pPr>
    <w:rPr>
      <w:rFonts w:ascii="Verdana" w:hAnsi="Verdana"/>
      <w:sz w:val="18"/>
    </w:rPr>
  </w:style>
  <w:style w:type="paragraph" w:styleId="Kop1">
    <w:name w:val="heading 1"/>
    <w:basedOn w:val="Standaard"/>
    <w:next w:val="Standaard"/>
    <w:link w:val="Kop1Char"/>
    <w:qFormat/>
    <w:rsid w:val="00290FAF"/>
    <w:pPr>
      <w:keepNext/>
      <w:numPr>
        <w:numId w:val="11"/>
      </w:numPr>
      <w:spacing w:after="300"/>
      <w:outlineLvl w:val="0"/>
    </w:pPr>
    <w:rPr>
      <w:rFonts w:eastAsia="Times New Roman" w:cs="Arial"/>
      <w:b/>
      <w:bCs/>
      <w:szCs w:val="32"/>
      <w:lang w:eastAsia="nl-NL"/>
    </w:rPr>
  </w:style>
  <w:style w:type="paragraph" w:styleId="Kop2">
    <w:name w:val="heading 2"/>
    <w:basedOn w:val="Standaard"/>
    <w:next w:val="Standaard"/>
    <w:link w:val="Kop2Char"/>
    <w:uiPriority w:val="9"/>
    <w:unhideWhenUsed/>
    <w:qFormat/>
    <w:rsid w:val="00290FAF"/>
    <w:pPr>
      <w:keepNext/>
      <w:numPr>
        <w:ilvl w:val="1"/>
        <w:numId w:val="11"/>
      </w:numPr>
      <w:spacing w:after="300"/>
      <w:outlineLvl w:val="1"/>
    </w:pPr>
    <w:rPr>
      <w:rFonts w:eastAsiaTheme="majorEastAsia" w:cstheme="majorBidi"/>
      <w:bCs/>
      <w:szCs w:val="26"/>
    </w:rPr>
  </w:style>
  <w:style w:type="paragraph" w:styleId="Kop3">
    <w:name w:val="heading 3"/>
    <w:basedOn w:val="Standaard"/>
    <w:next w:val="Standaard"/>
    <w:link w:val="Kop3Char"/>
    <w:uiPriority w:val="9"/>
    <w:unhideWhenUsed/>
    <w:qFormat/>
    <w:rsid w:val="00290FAF"/>
    <w:pPr>
      <w:keepNext/>
      <w:numPr>
        <w:ilvl w:val="2"/>
        <w:numId w:val="11"/>
      </w:numPr>
      <w:spacing w:after="300"/>
      <w:outlineLvl w:val="2"/>
    </w:pPr>
    <w:rPr>
      <w:rFonts w:eastAsiaTheme="majorEastAsia" w:cstheme="majorBidi"/>
      <w:bCs/>
    </w:rPr>
  </w:style>
  <w:style w:type="paragraph" w:styleId="Kop4">
    <w:name w:val="heading 4"/>
    <w:basedOn w:val="Standaard"/>
    <w:next w:val="Standaard"/>
    <w:link w:val="Kop4Char"/>
    <w:uiPriority w:val="9"/>
    <w:unhideWhenUsed/>
    <w:qFormat/>
    <w:rsid w:val="00290FAF"/>
    <w:pPr>
      <w:keepNext/>
      <w:numPr>
        <w:ilvl w:val="3"/>
        <w:numId w:val="11"/>
      </w:numPr>
      <w:spacing w:after="300"/>
      <w:outlineLvl w:val="3"/>
    </w:pPr>
    <w:rPr>
      <w:rFonts w:eastAsia="Times New Roman" w:cs="Times New Roman"/>
      <w:bCs/>
      <w:iCs/>
      <w:szCs w:val="20"/>
      <w:lang w:val="nl" w:eastAsia="nl-NL"/>
    </w:rPr>
  </w:style>
  <w:style w:type="paragraph" w:styleId="Kop5">
    <w:name w:val="heading 5"/>
    <w:basedOn w:val="Standaard"/>
    <w:next w:val="Standaard"/>
    <w:link w:val="Kop5Char"/>
    <w:uiPriority w:val="9"/>
    <w:unhideWhenUsed/>
    <w:qFormat/>
    <w:rsid w:val="00290FAF"/>
    <w:pPr>
      <w:keepNext/>
      <w:keepLines/>
      <w:numPr>
        <w:ilvl w:val="4"/>
        <w:numId w:val="11"/>
      </w:numPr>
      <w:spacing w:before="200"/>
      <w:outlineLvl w:val="4"/>
    </w:pPr>
    <w:rPr>
      <w:rFonts w:asciiTheme="majorHAnsi" w:eastAsiaTheme="majorEastAsia" w:hAnsiTheme="majorHAnsi" w:cstheme="majorBidi"/>
      <w:color w:val="243F60" w:themeColor="accent1" w:themeShade="7F"/>
      <w:szCs w:val="20"/>
      <w:lang w:val="nl" w:eastAsia="nl-NL"/>
    </w:rPr>
  </w:style>
  <w:style w:type="paragraph" w:styleId="Kop6">
    <w:name w:val="heading 6"/>
    <w:basedOn w:val="Standaard"/>
    <w:next w:val="Standaard"/>
    <w:link w:val="Kop6Char"/>
    <w:uiPriority w:val="9"/>
    <w:unhideWhenUsed/>
    <w:qFormat/>
    <w:rsid w:val="00290FAF"/>
    <w:pPr>
      <w:keepNext/>
      <w:keepLines/>
      <w:numPr>
        <w:ilvl w:val="5"/>
        <w:numId w:val="11"/>
      </w:numPr>
      <w:spacing w:before="200"/>
      <w:outlineLvl w:val="5"/>
    </w:pPr>
    <w:rPr>
      <w:rFonts w:asciiTheme="majorHAnsi" w:eastAsiaTheme="majorEastAsia" w:hAnsiTheme="majorHAnsi" w:cstheme="majorBidi"/>
      <w:i/>
      <w:iCs/>
      <w:color w:val="243F60" w:themeColor="accent1" w:themeShade="7F"/>
      <w:szCs w:val="20"/>
      <w:lang w:val="nl" w:eastAsia="nl-NL"/>
    </w:rPr>
  </w:style>
  <w:style w:type="paragraph" w:styleId="Kop7">
    <w:name w:val="heading 7"/>
    <w:basedOn w:val="Standaard"/>
    <w:next w:val="Standaard"/>
    <w:link w:val="Kop7Char"/>
    <w:uiPriority w:val="9"/>
    <w:unhideWhenUsed/>
    <w:qFormat/>
    <w:rsid w:val="00290FAF"/>
    <w:pPr>
      <w:keepNext/>
      <w:keepLines/>
      <w:numPr>
        <w:ilvl w:val="6"/>
        <w:numId w:val="11"/>
      </w:numPr>
      <w:spacing w:before="200"/>
      <w:outlineLvl w:val="6"/>
    </w:pPr>
    <w:rPr>
      <w:rFonts w:asciiTheme="majorHAnsi" w:eastAsiaTheme="majorEastAsia" w:hAnsiTheme="majorHAnsi" w:cstheme="majorBidi"/>
      <w:i/>
      <w:iCs/>
      <w:color w:val="404040" w:themeColor="text1" w:themeTint="BF"/>
      <w:szCs w:val="20"/>
      <w:lang w:val="nl" w:eastAsia="nl-NL"/>
    </w:rPr>
  </w:style>
  <w:style w:type="paragraph" w:styleId="Kop8">
    <w:name w:val="heading 8"/>
    <w:basedOn w:val="Standaard"/>
    <w:next w:val="Standaard"/>
    <w:link w:val="Kop8Char"/>
    <w:uiPriority w:val="9"/>
    <w:unhideWhenUsed/>
    <w:qFormat/>
    <w:rsid w:val="00290FAF"/>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lang w:val="nl" w:eastAsia="nl-NL"/>
    </w:rPr>
  </w:style>
  <w:style w:type="paragraph" w:styleId="Kop9">
    <w:name w:val="heading 9"/>
    <w:basedOn w:val="Standaard"/>
    <w:next w:val="Standaard"/>
    <w:link w:val="Kop9Char"/>
    <w:uiPriority w:val="9"/>
    <w:unhideWhenUsed/>
    <w:qFormat/>
    <w:rsid w:val="00290FAF"/>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
    <w:rsid w:val="00290FAF"/>
    <w:rPr>
      <w:rFonts w:asciiTheme="majorHAnsi" w:eastAsiaTheme="majorEastAsia" w:hAnsiTheme="majorHAnsi" w:cstheme="majorBidi"/>
      <w:i/>
      <w:iCs/>
      <w:color w:val="243F60" w:themeColor="accent1" w:themeShade="7F"/>
      <w:sz w:val="18"/>
      <w:szCs w:val="20"/>
      <w:lang w:val="nl" w:eastAsia="nl-NL"/>
    </w:rPr>
  </w:style>
  <w:style w:type="character" w:customStyle="1" w:styleId="Kop1Char">
    <w:name w:val="Kop 1 Char"/>
    <w:basedOn w:val="Standaardalinea-lettertype"/>
    <w:link w:val="Kop1"/>
    <w:rsid w:val="00290FAF"/>
    <w:rPr>
      <w:rFonts w:ascii="Verdana" w:eastAsia="Times New Roman" w:hAnsi="Verdana" w:cs="Arial"/>
      <w:b/>
      <w:bCs/>
      <w:sz w:val="18"/>
      <w:szCs w:val="32"/>
      <w:lang w:eastAsia="nl-NL"/>
    </w:rPr>
  </w:style>
  <w:style w:type="character" w:customStyle="1" w:styleId="Kop2Char">
    <w:name w:val="Kop 2 Char"/>
    <w:basedOn w:val="Standaardalinea-lettertype"/>
    <w:link w:val="Kop2"/>
    <w:uiPriority w:val="9"/>
    <w:rsid w:val="00290FAF"/>
    <w:rPr>
      <w:rFonts w:ascii="Verdana" w:eastAsiaTheme="majorEastAsia" w:hAnsi="Verdana" w:cstheme="majorBidi"/>
      <w:bCs/>
      <w:sz w:val="18"/>
      <w:szCs w:val="26"/>
    </w:rPr>
  </w:style>
  <w:style w:type="character" w:customStyle="1" w:styleId="Kop3Char">
    <w:name w:val="Kop 3 Char"/>
    <w:basedOn w:val="Standaardalinea-lettertype"/>
    <w:link w:val="Kop3"/>
    <w:uiPriority w:val="9"/>
    <w:rsid w:val="00290FAF"/>
    <w:rPr>
      <w:rFonts w:ascii="Verdana" w:eastAsiaTheme="majorEastAsia" w:hAnsi="Verdana" w:cstheme="majorBidi"/>
      <w:bCs/>
      <w:sz w:val="18"/>
    </w:rPr>
  </w:style>
  <w:style w:type="character" w:customStyle="1" w:styleId="Kop4Char">
    <w:name w:val="Kop 4 Char"/>
    <w:basedOn w:val="Standaardalinea-lettertype"/>
    <w:link w:val="Kop4"/>
    <w:uiPriority w:val="9"/>
    <w:rsid w:val="00290FAF"/>
    <w:rPr>
      <w:rFonts w:ascii="Verdana" w:eastAsia="Times New Roman" w:hAnsi="Verdana" w:cs="Times New Roman"/>
      <w:bCs/>
      <w:iCs/>
      <w:sz w:val="18"/>
      <w:szCs w:val="20"/>
      <w:lang w:val="nl" w:eastAsia="nl-NL"/>
    </w:rPr>
  </w:style>
  <w:style w:type="character" w:customStyle="1" w:styleId="Kop5Char">
    <w:name w:val="Kop 5 Char"/>
    <w:basedOn w:val="Standaardalinea-lettertype"/>
    <w:link w:val="Kop5"/>
    <w:uiPriority w:val="9"/>
    <w:rsid w:val="00290FAF"/>
    <w:rPr>
      <w:rFonts w:asciiTheme="majorHAnsi" w:eastAsiaTheme="majorEastAsia" w:hAnsiTheme="majorHAnsi" w:cstheme="majorBidi"/>
      <w:color w:val="243F60" w:themeColor="accent1" w:themeShade="7F"/>
      <w:sz w:val="18"/>
      <w:szCs w:val="20"/>
      <w:lang w:val="nl" w:eastAsia="nl-NL"/>
    </w:rPr>
  </w:style>
  <w:style w:type="character" w:customStyle="1" w:styleId="Kop7Char">
    <w:name w:val="Kop 7 Char"/>
    <w:basedOn w:val="Standaardalinea-lettertype"/>
    <w:link w:val="Kop7"/>
    <w:uiPriority w:val="9"/>
    <w:rsid w:val="00290FAF"/>
    <w:rPr>
      <w:rFonts w:asciiTheme="majorHAnsi" w:eastAsiaTheme="majorEastAsia" w:hAnsiTheme="majorHAnsi" w:cstheme="majorBidi"/>
      <w:i/>
      <w:iCs/>
      <w:color w:val="404040" w:themeColor="text1" w:themeTint="BF"/>
      <w:sz w:val="18"/>
      <w:szCs w:val="20"/>
      <w:lang w:val="nl" w:eastAsia="nl-NL"/>
    </w:rPr>
  </w:style>
  <w:style w:type="character" w:customStyle="1" w:styleId="Kop9Char">
    <w:name w:val="Kop 9 Char"/>
    <w:basedOn w:val="Standaardalinea-lettertype"/>
    <w:link w:val="Kop9"/>
    <w:uiPriority w:val="9"/>
    <w:rsid w:val="00290FAF"/>
    <w:rPr>
      <w:rFonts w:asciiTheme="majorHAnsi" w:eastAsiaTheme="majorEastAsia" w:hAnsiTheme="majorHAnsi" w:cstheme="majorBidi"/>
      <w:i/>
      <w:iCs/>
      <w:color w:val="404040" w:themeColor="text1" w:themeTint="BF"/>
      <w:sz w:val="20"/>
      <w:szCs w:val="20"/>
      <w:lang w:val="nl" w:eastAsia="nl-NL"/>
    </w:rPr>
  </w:style>
  <w:style w:type="character" w:customStyle="1" w:styleId="Kop8Char">
    <w:name w:val="Kop 8 Char"/>
    <w:basedOn w:val="Standaardalinea-lettertype"/>
    <w:link w:val="Kop8"/>
    <w:uiPriority w:val="9"/>
    <w:rsid w:val="00290FAF"/>
    <w:rPr>
      <w:rFonts w:asciiTheme="majorHAnsi" w:eastAsiaTheme="majorEastAsia" w:hAnsiTheme="majorHAnsi" w:cstheme="majorBidi"/>
      <w:color w:val="404040" w:themeColor="text1" w:themeTint="BF"/>
      <w:sz w:val="20"/>
      <w:szCs w:val="20"/>
      <w:lang w:val="nl" w:eastAsia="nl-NL"/>
    </w:rPr>
  </w:style>
  <w:style w:type="paragraph" w:styleId="Inhopg1">
    <w:name w:val="toc 1"/>
    <w:basedOn w:val="Standaard"/>
    <w:next w:val="Standaard"/>
    <w:autoRedefine/>
    <w:uiPriority w:val="39"/>
    <w:unhideWhenUsed/>
    <w:qFormat/>
    <w:rsid w:val="00C63867"/>
    <w:pPr>
      <w:tabs>
        <w:tab w:val="left" w:pos="1418"/>
        <w:tab w:val="right" w:pos="9117"/>
      </w:tabs>
      <w:spacing w:before="300"/>
    </w:pPr>
    <w:rPr>
      <w:rFonts w:eastAsia="Times New Roman" w:cs="Times New Roman"/>
      <w:b/>
      <w:caps/>
      <w:szCs w:val="18"/>
      <w:lang w:eastAsia="nl-NL"/>
    </w:rPr>
  </w:style>
  <w:style w:type="paragraph" w:styleId="Inhopg2">
    <w:name w:val="toc 2"/>
    <w:basedOn w:val="Standaard"/>
    <w:next w:val="Standaard"/>
    <w:autoRedefine/>
    <w:uiPriority w:val="39"/>
    <w:unhideWhenUsed/>
    <w:qFormat/>
    <w:rsid w:val="00C63867"/>
    <w:pPr>
      <w:tabs>
        <w:tab w:val="left" w:pos="1418"/>
        <w:tab w:val="right" w:pos="9117"/>
      </w:tabs>
    </w:pPr>
    <w:rPr>
      <w:rFonts w:eastAsia="Times New Roman" w:cs="Times New Roman"/>
      <w:i/>
      <w:szCs w:val="18"/>
      <w:lang w:eastAsia="nl-NL"/>
    </w:rPr>
  </w:style>
  <w:style w:type="paragraph" w:styleId="Inhopg3">
    <w:name w:val="toc 3"/>
    <w:basedOn w:val="Standaard"/>
    <w:next w:val="Standaard"/>
    <w:autoRedefine/>
    <w:uiPriority w:val="39"/>
    <w:unhideWhenUsed/>
    <w:qFormat/>
    <w:rsid w:val="00C63867"/>
    <w:pPr>
      <w:tabs>
        <w:tab w:val="left" w:pos="1418"/>
        <w:tab w:val="right" w:pos="9117"/>
      </w:tabs>
    </w:pPr>
    <w:rPr>
      <w:rFonts w:eastAsia="Times New Roman" w:cs="Times New Roman"/>
      <w:szCs w:val="18"/>
      <w:lang w:eastAsia="nl-NL"/>
    </w:rPr>
  </w:style>
  <w:style w:type="paragraph" w:customStyle="1" w:styleId="doAlinea1">
    <w:name w:val="do_Alinea1"/>
    <w:basedOn w:val="Kop1"/>
    <w:next w:val="Standaard"/>
    <w:qFormat/>
    <w:rsid w:val="00290FAF"/>
    <w:pPr>
      <w:keepNext w:val="0"/>
      <w:spacing w:after="0"/>
      <w:outlineLvl w:val="9"/>
    </w:pPr>
    <w:rPr>
      <w:b w:val="0"/>
    </w:rPr>
  </w:style>
  <w:style w:type="paragraph" w:customStyle="1" w:styleId="doAlinea2">
    <w:name w:val="do_Alinea2"/>
    <w:basedOn w:val="Kop2"/>
    <w:next w:val="Standaard"/>
    <w:qFormat/>
    <w:rsid w:val="00290FAF"/>
    <w:pPr>
      <w:keepNext w:val="0"/>
      <w:spacing w:after="0"/>
      <w:outlineLvl w:val="9"/>
    </w:pPr>
  </w:style>
  <w:style w:type="paragraph" w:customStyle="1" w:styleId="doAlinea3">
    <w:name w:val="do_Alinea3"/>
    <w:basedOn w:val="Kop3"/>
    <w:next w:val="Standaard"/>
    <w:qFormat/>
    <w:rsid w:val="00290FAF"/>
    <w:pPr>
      <w:keepNext w:val="0"/>
      <w:spacing w:after="0"/>
      <w:outlineLvl w:val="9"/>
    </w:pPr>
  </w:style>
  <w:style w:type="paragraph" w:customStyle="1" w:styleId="doBullets1">
    <w:name w:val="do_Bullets1"/>
    <w:basedOn w:val="Standaard"/>
    <w:qFormat/>
    <w:rsid w:val="00290FAF"/>
    <w:pPr>
      <w:numPr>
        <w:numId w:val="1"/>
      </w:numPr>
    </w:pPr>
    <w:rPr>
      <w:rFonts w:eastAsia="Times New Roman" w:cs="Times New Roman"/>
      <w:szCs w:val="20"/>
      <w:lang w:val="nl" w:eastAsia="nl-NL"/>
    </w:rPr>
  </w:style>
  <w:style w:type="paragraph" w:customStyle="1" w:styleId="doBullets2">
    <w:name w:val="do_Bullets2"/>
    <w:basedOn w:val="doBullets1"/>
    <w:qFormat/>
    <w:rsid w:val="00290FAF"/>
    <w:pPr>
      <w:spacing w:after="240"/>
    </w:pPr>
    <w:rPr>
      <w:lang w:val="en-US"/>
    </w:rPr>
  </w:style>
  <w:style w:type="paragraph" w:styleId="Inhopg4">
    <w:name w:val="toc 4"/>
    <w:basedOn w:val="Standaard"/>
    <w:next w:val="Standaard"/>
    <w:autoRedefine/>
    <w:uiPriority w:val="39"/>
    <w:qFormat/>
    <w:rsid w:val="00C661EA"/>
    <w:pPr>
      <w:tabs>
        <w:tab w:val="left" w:pos="1985"/>
        <w:tab w:val="right" w:pos="9117"/>
      </w:tabs>
      <w:spacing w:after="100" w:line="255" w:lineRule="atLeast"/>
      <w:ind w:left="1418"/>
    </w:pPr>
    <w:rPr>
      <w:rFonts w:eastAsia="Times New Roman" w:cs="Times New Roman"/>
      <w:szCs w:val="18"/>
      <w:lang w:eastAsia="nl-NL"/>
    </w:rPr>
  </w:style>
  <w:style w:type="paragraph" w:styleId="Inhopg5">
    <w:name w:val="toc 5"/>
    <w:basedOn w:val="Standaard"/>
    <w:next w:val="Standaard"/>
    <w:autoRedefine/>
    <w:uiPriority w:val="39"/>
    <w:qFormat/>
    <w:rsid w:val="00C661EA"/>
    <w:pPr>
      <w:tabs>
        <w:tab w:val="left" w:pos="1985"/>
        <w:tab w:val="right" w:pos="9117"/>
      </w:tabs>
      <w:spacing w:after="100" w:line="255" w:lineRule="atLeast"/>
      <w:ind w:left="1418"/>
    </w:pPr>
    <w:rPr>
      <w:rFonts w:eastAsia="Times New Roman" w:cs="Times New Roman"/>
      <w:szCs w:val="18"/>
      <w:lang w:eastAsia="nl-NL"/>
    </w:rPr>
  </w:style>
  <w:style w:type="paragraph" w:styleId="Inhopg6">
    <w:name w:val="toc 6"/>
    <w:basedOn w:val="Standaard"/>
    <w:next w:val="Standaard"/>
    <w:autoRedefine/>
    <w:uiPriority w:val="39"/>
    <w:qFormat/>
    <w:rsid w:val="00C661EA"/>
    <w:pPr>
      <w:tabs>
        <w:tab w:val="left" w:pos="1985"/>
        <w:tab w:val="right" w:pos="9117"/>
      </w:tabs>
      <w:spacing w:after="100" w:line="255" w:lineRule="atLeast"/>
      <w:ind w:left="1418"/>
    </w:pPr>
    <w:rPr>
      <w:rFonts w:eastAsia="Times New Roman" w:cs="Times New Roman"/>
      <w:szCs w:val="18"/>
      <w:lang w:eastAsia="nl-NL"/>
    </w:rPr>
  </w:style>
  <w:style w:type="paragraph" w:styleId="Citaat">
    <w:name w:val="Quote"/>
    <w:basedOn w:val="Standaard"/>
    <w:next w:val="Standaard"/>
    <w:link w:val="CitaatChar"/>
    <w:uiPriority w:val="11"/>
    <w:qFormat/>
    <w:rsid w:val="003E1C02"/>
    <w:pPr>
      <w:spacing w:after="260" w:line="252" w:lineRule="auto"/>
      <w:ind w:left="1418" w:right="1418"/>
    </w:pPr>
    <w:rPr>
      <w:rFonts w:asciiTheme="minorHAnsi" w:hAnsiTheme="minorHAnsi"/>
      <w:i/>
      <w:iCs/>
      <w:szCs w:val="20"/>
    </w:rPr>
  </w:style>
  <w:style w:type="character" w:customStyle="1" w:styleId="CitaatChar">
    <w:name w:val="Citaat Char"/>
    <w:basedOn w:val="Standaardalinea-lettertype"/>
    <w:link w:val="Citaat"/>
    <w:uiPriority w:val="11"/>
    <w:rsid w:val="003E1C02"/>
    <w:rPr>
      <w:rFonts w:asciiTheme="minorHAnsi" w:hAnsiTheme="minorHAnsi"/>
      <w:i/>
      <w:iCs/>
      <w:sz w:val="20"/>
      <w:szCs w:val="20"/>
    </w:rPr>
  </w:style>
  <w:style w:type="paragraph" w:customStyle="1" w:styleId="doGenummerdelijst">
    <w:name w:val="do_Genummerde lijst"/>
    <w:basedOn w:val="Standaard"/>
    <w:qFormat/>
    <w:rsid w:val="00290FAF"/>
    <w:pPr>
      <w:numPr>
        <w:numId w:val="2"/>
      </w:numPr>
    </w:pPr>
    <w:rPr>
      <w:rFonts w:eastAsia="Times New Roman" w:cs="Times New Roman"/>
      <w:szCs w:val="20"/>
      <w:lang w:val="nl" w:eastAsia="nl-NL"/>
    </w:rPr>
  </w:style>
  <w:style w:type="paragraph" w:customStyle="1" w:styleId="Hoofdstuk">
    <w:name w:val="Hoofdstuk"/>
    <w:basedOn w:val="Standaard"/>
    <w:next w:val="Standaard"/>
    <w:qFormat/>
    <w:rsid w:val="00740DE3"/>
    <w:pPr>
      <w:spacing w:line="240" w:lineRule="auto"/>
    </w:pPr>
    <w:rPr>
      <w:b/>
      <w:caps/>
    </w:rPr>
  </w:style>
  <w:style w:type="paragraph" w:customStyle="1" w:styleId="Paragraaf">
    <w:name w:val="Paragraaf"/>
    <w:basedOn w:val="Standaard"/>
    <w:next w:val="Standaard"/>
    <w:qFormat/>
    <w:rsid w:val="00AB1818"/>
    <w:pPr>
      <w:spacing w:line="240" w:lineRule="auto"/>
    </w:pPr>
    <w:rPr>
      <w:i/>
    </w:rPr>
  </w:style>
  <w:style w:type="paragraph" w:customStyle="1" w:styleId="Subparagraaf">
    <w:name w:val="Subparagraaf"/>
    <w:basedOn w:val="Standaard"/>
    <w:next w:val="Standaard"/>
    <w:qFormat/>
    <w:rsid w:val="00AB1818"/>
    <w:pPr>
      <w:spacing w:line="240" w:lineRule="auto"/>
    </w:pPr>
    <w:rPr>
      <w:i/>
    </w:rPr>
  </w:style>
  <w:style w:type="paragraph" w:customStyle="1" w:styleId="Kop">
    <w:name w:val="Kop"/>
    <w:basedOn w:val="Standaard"/>
    <w:next w:val="Standaard"/>
    <w:uiPriority w:val="4"/>
    <w:qFormat/>
    <w:rsid w:val="00326029"/>
    <w:pPr>
      <w:spacing w:line="240" w:lineRule="auto"/>
    </w:pPr>
    <w:rPr>
      <w:b/>
    </w:rPr>
  </w:style>
  <w:style w:type="paragraph" w:customStyle="1" w:styleId="doInspring1">
    <w:name w:val="do_Inspring1"/>
    <w:basedOn w:val="Standaard"/>
    <w:qFormat/>
    <w:rsid w:val="00290FAF"/>
    <w:pPr>
      <w:spacing w:line="260" w:lineRule="atLeast"/>
      <w:ind w:left="851"/>
    </w:pPr>
    <w:rPr>
      <w:rFonts w:eastAsia="Times New Roman" w:cs="Times New Roman"/>
      <w:szCs w:val="20"/>
      <w:lang w:eastAsia="nl-NL"/>
    </w:rPr>
  </w:style>
  <w:style w:type="paragraph" w:customStyle="1" w:styleId="doInspring2">
    <w:name w:val="do_Inspring2"/>
    <w:basedOn w:val="doInspring1"/>
    <w:qFormat/>
    <w:rsid w:val="00290FAF"/>
    <w:pPr>
      <w:ind w:left="1701"/>
    </w:pPr>
  </w:style>
  <w:style w:type="paragraph" w:customStyle="1" w:styleId="doLijstnummering1">
    <w:name w:val="do_Lijstnummering1"/>
    <w:basedOn w:val="Standaard"/>
    <w:qFormat/>
    <w:rsid w:val="00290FAF"/>
    <w:pPr>
      <w:numPr>
        <w:numId w:val="3"/>
      </w:numPr>
    </w:pPr>
    <w:rPr>
      <w:rFonts w:eastAsia="Times New Roman" w:cs="Times New Roman"/>
      <w:szCs w:val="24"/>
      <w:lang w:eastAsia="nl-NL"/>
    </w:rPr>
  </w:style>
  <w:style w:type="paragraph" w:customStyle="1" w:styleId="doLijstnummering2">
    <w:name w:val="do_Lijstnummering2"/>
    <w:basedOn w:val="Standaard"/>
    <w:qFormat/>
    <w:rsid w:val="00290FAF"/>
    <w:pPr>
      <w:numPr>
        <w:numId w:val="4"/>
      </w:numPr>
    </w:pPr>
    <w:rPr>
      <w:rFonts w:eastAsia="Times New Roman" w:cs="Times New Roman"/>
      <w:szCs w:val="24"/>
      <w:lang w:eastAsia="nl-NL"/>
    </w:rPr>
  </w:style>
  <w:style w:type="paragraph" w:customStyle="1" w:styleId="doLijstnummering3">
    <w:name w:val="do_Lijstnummering3"/>
    <w:basedOn w:val="Standaard"/>
    <w:qFormat/>
    <w:rsid w:val="00290FAF"/>
    <w:pPr>
      <w:numPr>
        <w:numId w:val="5"/>
      </w:numPr>
    </w:pPr>
    <w:rPr>
      <w:rFonts w:eastAsia="Times New Roman" w:cs="Times New Roman"/>
      <w:szCs w:val="24"/>
      <w:lang w:eastAsia="nl-NL"/>
    </w:rPr>
  </w:style>
  <w:style w:type="paragraph" w:customStyle="1" w:styleId="doLijstnummering4">
    <w:name w:val="do_Lijstnummering4"/>
    <w:basedOn w:val="Standaard"/>
    <w:qFormat/>
    <w:rsid w:val="00290FAF"/>
    <w:pPr>
      <w:numPr>
        <w:numId w:val="6"/>
      </w:numPr>
    </w:pPr>
    <w:rPr>
      <w:rFonts w:eastAsia="Times New Roman" w:cs="Times New Roman"/>
      <w:szCs w:val="20"/>
      <w:lang w:val="nl" w:eastAsia="nl-NL"/>
    </w:rPr>
  </w:style>
  <w:style w:type="paragraph" w:customStyle="1" w:styleId="doLijstnummering5">
    <w:name w:val="do_Lijstnummering5"/>
    <w:basedOn w:val="Standaard"/>
    <w:qFormat/>
    <w:rsid w:val="00290FAF"/>
    <w:pPr>
      <w:numPr>
        <w:numId w:val="7"/>
      </w:numPr>
    </w:pPr>
    <w:rPr>
      <w:rFonts w:eastAsia="Times New Roman" w:cs="Times New Roman"/>
      <w:szCs w:val="24"/>
      <w:lang w:eastAsia="nl-NL"/>
    </w:rPr>
  </w:style>
  <w:style w:type="paragraph" w:customStyle="1" w:styleId="doLijstnummering7">
    <w:name w:val="do_Lijstnummering7"/>
    <w:basedOn w:val="Standaard"/>
    <w:qFormat/>
    <w:rsid w:val="00290FAF"/>
    <w:pPr>
      <w:numPr>
        <w:numId w:val="8"/>
      </w:numPr>
    </w:pPr>
    <w:rPr>
      <w:rFonts w:eastAsia="Times New Roman" w:cs="Times New Roman"/>
      <w:szCs w:val="24"/>
      <w:lang w:eastAsia="nl-NL"/>
    </w:rPr>
  </w:style>
  <w:style w:type="paragraph" w:customStyle="1" w:styleId="doProducties">
    <w:name w:val="do_Producties"/>
    <w:basedOn w:val="Standaard"/>
    <w:qFormat/>
    <w:rsid w:val="00290FAF"/>
    <w:pPr>
      <w:numPr>
        <w:numId w:val="9"/>
      </w:numPr>
    </w:pPr>
    <w:rPr>
      <w:rFonts w:eastAsia="Times New Roman" w:cs="Times New Roman"/>
      <w:szCs w:val="20"/>
      <w:lang w:val="nl" w:eastAsia="nl-NL"/>
    </w:rPr>
  </w:style>
  <w:style w:type="paragraph" w:customStyle="1" w:styleId="doStandaardgenummerd">
    <w:name w:val="do_Standaard genummerd"/>
    <w:basedOn w:val="Standaard"/>
    <w:qFormat/>
    <w:rsid w:val="00290FAF"/>
    <w:pPr>
      <w:numPr>
        <w:numId w:val="10"/>
      </w:numPr>
      <w:spacing w:after="240" w:line="360" w:lineRule="auto"/>
    </w:pPr>
    <w:rPr>
      <w:lang w:val="en-US"/>
    </w:rPr>
  </w:style>
  <w:style w:type="paragraph" w:styleId="Koptekst">
    <w:name w:val="header"/>
    <w:basedOn w:val="Standaard"/>
    <w:link w:val="KoptekstChar"/>
    <w:uiPriority w:val="99"/>
    <w:unhideWhenUsed/>
    <w:rsid w:val="00842C2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42C25"/>
    <w:rPr>
      <w:rFonts w:ascii="Verdana" w:hAnsi="Verdana"/>
      <w:sz w:val="18"/>
    </w:rPr>
  </w:style>
  <w:style w:type="paragraph" w:styleId="Voettekst">
    <w:name w:val="footer"/>
    <w:basedOn w:val="Standaard"/>
    <w:link w:val="VoettekstChar"/>
    <w:uiPriority w:val="99"/>
    <w:unhideWhenUsed/>
    <w:rsid w:val="00842C2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42C25"/>
    <w:rPr>
      <w:rFonts w:ascii="Verdana" w:hAnsi="Verdana"/>
      <w:sz w:val="18"/>
    </w:rPr>
  </w:style>
  <w:style w:type="character" w:styleId="Tekstvantijdelijkeaanduiding">
    <w:name w:val="Placeholder Text"/>
    <w:basedOn w:val="Standaardalinea-lettertype"/>
    <w:uiPriority w:val="99"/>
    <w:semiHidden/>
    <w:qFormat/>
    <w:rsid w:val="00842C25"/>
    <w:rPr>
      <w:color w:val="808080"/>
    </w:rPr>
  </w:style>
  <w:style w:type="table" w:styleId="Tabelraster">
    <w:name w:val="Table Grid"/>
    <w:basedOn w:val="Standaardtabel"/>
    <w:uiPriority w:val="59"/>
    <w:rsid w:val="00B6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B639E3"/>
    <w:pPr>
      <w:spacing w:after="200" w:line="240" w:lineRule="auto"/>
    </w:pPr>
    <w:rPr>
      <w:i/>
      <w:iCs/>
      <w:color w:val="1F497D" w:themeColor="text2"/>
      <w:szCs w:val="18"/>
    </w:rPr>
  </w:style>
  <w:style w:type="paragraph" w:customStyle="1" w:styleId="doStatus">
    <w:name w:val="do_Status"/>
    <w:basedOn w:val="Standaard"/>
    <w:qFormat/>
    <w:rsid w:val="001B3BC7"/>
    <w:pPr>
      <w:spacing w:line="240" w:lineRule="auto"/>
      <w:jc w:val="right"/>
    </w:pPr>
    <w:rPr>
      <w:b/>
      <w:caps/>
      <w:sz w:val="28"/>
    </w:rPr>
  </w:style>
  <w:style w:type="paragraph" w:styleId="Eindnoottekst">
    <w:name w:val="endnote text"/>
    <w:basedOn w:val="Standaard"/>
    <w:link w:val="EindnoottekstChar"/>
    <w:uiPriority w:val="99"/>
    <w:semiHidden/>
    <w:unhideWhenUsed/>
    <w:rsid w:val="001C41E6"/>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1C41E6"/>
    <w:rPr>
      <w:rFonts w:ascii="Verdana" w:hAnsi="Verdana"/>
      <w:sz w:val="14"/>
      <w:szCs w:val="20"/>
    </w:rPr>
  </w:style>
  <w:style w:type="paragraph" w:styleId="Voetnoottekst">
    <w:name w:val="footnote text"/>
    <w:basedOn w:val="Standaard"/>
    <w:link w:val="VoetnoottekstChar"/>
    <w:uiPriority w:val="99"/>
    <w:rsid w:val="000F5CCD"/>
    <w:pPr>
      <w:tabs>
        <w:tab w:val="left" w:pos="284"/>
      </w:tabs>
      <w:spacing w:line="240" w:lineRule="auto"/>
      <w:ind w:left="284" w:hanging="284"/>
    </w:pPr>
    <w:rPr>
      <w:sz w:val="14"/>
      <w:szCs w:val="20"/>
    </w:rPr>
  </w:style>
  <w:style w:type="character" w:customStyle="1" w:styleId="VoetnoottekstChar">
    <w:name w:val="Voetnoottekst Char"/>
    <w:basedOn w:val="Standaardalinea-lettertype"/>
    <w:link w:val="Voetnoottekst"/>
    <w:uiPriority w:val="99"/>
    <w:rsid w:val="000F5CCD"/>
    <w:rPr>
      <w:sz w:val="14"/>
      <w:szCs w:val="20"/>
    </w:rPr>
  </w:style>
  <w:style w:type="character" w:styleId="Voetnootmarkering">
    <w:name w:val="footnote reference"/>
    <w:basedOn w:val="Standaardalinea-lettertype"/>
    <w:uiPriority w:val="99"/>
    <w:semiHidden/>
    <w:unhideWhenUsed/>
    <w:rsid w:val="00270419"/>
    <w:rPr>
      <w:vertAlign w:val="superscript"/>
      <w:lang w:val="nl-NL"/>
    </w:rPr>
  </w:style>
  <w:style w:type="paragraph" w:customStyle="1" w:styleId="Default">
    <w:name w:val="Default"/>
    <w:rsid w:val="00B303FA"/>
    <w:pPr>
      <w:autoSpaceDE w:val="0"/>
      <w:autoSpaceDN w:val="0"/>
      <w:adjustRightInd w:val="0"/>
      <w:spacing w:after="0" w:line="240" w:lineRule="auto"/>
      <w:jc w:val="left"/>
    </w:pPr>
    <w:rPr>
      <w:rFonts w:ascii="Verdana" w:hAnsi="Verdana" w:cs="Verdana"/>
      <w:color w:val="000000"/>
      <w:sz w:val="24"/>
      <w:szCs w:val="24"/>
      <w:lang w:val="en-GB"/>
    </w:rPr>
  </w:style>
  <w:style w:type="character" w:styleId="Verwijzingopmerking">
    <w:name w:val="annotation reference"/>
    <w:basedOn w:val="Standaardalinea-lettertype"/>
    <w:uiPriority w:val="99"/>
    <w:semiHidden/>
    <w:unhideWhenUsed/>
    <w:rsid w:val="00B167F8"/>
    <w:rPr>
      <w:sz w:val="16"/>
      <w:szCs w:val="16"/>
    </w:rPr>
  </w:style>
  <w:style w:type="paragraph" w:styleId="Tekstopmerking">
    <w:name w:val="annotation text"/>
    <w:basedOn w:val="Standaard"/>
    <w:link w:val="TekstopmerkingChar"/>
    <w:uiPriority w:val="99"/>
    <w:semiHidden/>
    <w:unhideWhenUsed/>
    <w:rsid w:val="00B167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67F8"/>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B167F8"/>
    <w:rPr>
      <w:b/>
      <w:bCs/>
    </w:rPr>
  </w:style>
  <w:style w:type="character" w:customStyle="1" w:styleId="OnderwerpvanopmerkingChar">
    <w:name w:val="Onderwerp van opmerking Char"/>
    <w:basedOn w:val="TekstopmerkingChar"/>
    <w:link w:val="Onderwerpvanopmerking"/>
    <w:uiPriority w:val="99"/>
    <w:semiHidden/>
    <w:rsid w:val="00B167F8"/>
    <w:rPr>
      <w:rFonts w:ascii="Verdana" w:hAnsi="Verdana"/>
      <w:b/>
      <w:bCs/>
      <w:sz w:val="20"/>
      <w:szCs w:val="20"/>
    </w:rPr>
  </w:style>
  <w:style w:type="paragraph" w:styleId="Ballontekst">
    <w:name w:val="Balloon Text"/>
    <w:basedOn w:val="Standaard"/>
    <w:link w:val="BallontekstChar"/>
    <w:uiPriority w:val="99"/>
    <w:semiHidden/>
    <w:unhideWhenUsed/>
    <w:rsid w:val="00B167F8"/>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16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sh.pels\root\Overig\AD_Shared\DotOffice\Huisstijl\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C747C6B6D834282F5818A0AF7D7D7" ma:contentTypeVersion="18" ma:contentTypeDescription="Een nieuw document maken." ma:contentTypeScope="" ma:versionID="4f39cbd2d73fbf3eab0b2ce01fba9578">
  <xsd:schema xmlns:xsd="http://www.w3.org/2001/XMLSchema" xmlns:xs="http://www.w3.org/2001/XMLSchema" xmlns:p="http://schemas.microsoft.com/office/2006/metadata/properties" xmlns:ns2="34d0b02e-62e7-4c18-8658-6127ab53c39f" xmlns:ns3="9cd96db0-5a15-4537-998d-39ca8fb0e7e8" targetNamespace="http://schemas.microsoft.com/office/2006/metadata/properties" ma:root="true" ma:fieldsID="ac8ae03280780168d4cb7b69261dc8d4" ns2:_="" ns3:_="">
    <xsd:import namespace="34d0b02e-62e7-4c18-8658-6127ab53c39f"/>
    <xsd:import namespace="9cd96db0-5a15-4537-998d-39ca8fb0e7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ADV"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0b02e-62e7-4c18-8658-6127ab53c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ADV" ma:index="20" nillable="true" ma:displayName="ADV" ma:format="Hyperlink" ma:internalName="ADV">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d96db0-5a15-4537-998d-39ca8fb0e7e8"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404153-f4b1-4fdc-95f5-6affe33ee359}" ma:internalName="TaxCatchAll" ma:showField="CatchAllData" ma:web="9cd96db0-5a15-4537-998d-39ca8fb0e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82B56-ED24-4069-B1E7-70D77FEFAE47}"/>
</file>

<file path=customXml/itemProps2.xml><?xml version="1.0" encoding="utf-8"?>
<ds:datastoreItem xmlns:ds="http://schemas.openxmlformats.org/officeDocument/2006/customXml" ds:itemID="{BD23639A-8B07-4BAE-8271-148F60F0BE3F}"/>
</file>

<file path=customXml/itemProps6.xml><?xml version="1.0" encoding="utf-8"?>
<ds:datastoreItem xmlns:ds="http://schemas.openxmlformats.org/officeDocument/2006/customXml" ds:itemID="{4274F14E-FCAF-47EE-8B30-BDC24588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3</Pages>
  <Words>944</Words>
  <Characters>6058</Characters>
  <Application>Microsoft Office Word</Application>
  <DocSecurity>0</DocSecurity>
  <Lines>128</Lines>
  <Paragraphs>41</Paragraphs>
  <ScaleCrop>false</ScaleCrop>
  <HeadingPairs>
    <vt:vector size="2" baseType="variant">
      <vt:variant>
        <vt:lpstr>Titel</vt:lpstr>
      </vt:variant>
      <vt:variant>
        <vt:i4>1</vt:i4>
      </vt:variant>
    </vt:vector>
  </HeadingPair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2024-01-24T12:33:00Z</dcterms:created>
  <dcterms:modified xsi:type="dcterms:W3CDTF">2024-01-24T12:33:00Z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Type">
    <vt:lpwstr>Blank</vt:lpwstr>
  </op:property>
  <op:property fmtid="{D5CDD505-2E9C-101B-9397-08002B2CF9AE}" pid="3" name="ContentType">
    <vt:lpwstr>Notitie</vt:lpwstr>
  </op:property>
  <op:property fmtid="{D5CDD505-2E9C-101B-9397-08002B2CF9AE}" pid="4" name="corporateDocument">
    <vt:lpwstr>-1</vt:lpwstr>
  </op:property>
  <op:property fmtid="{D5CDD505-2E9C-101B-9397-08002B2CF9AE}" pid="5" name="ContentTypeId">
    <vt:lpwstr>0x0101007A6E4A62A1A34FCBB5DB597108C1AEB0011400D35D08DA1303D945B43C1AF758C5306C</vt:lpwstr>
  </op:property>
  <op:property fmtid="{D5CDD505-2E9C-101B-9397-08002B2CF9AE}" pid="6" name="Sector">
    <vt:lpwstr>59;#Provincies en gemeenten|fd63cead-3de8-4944-b412-861a9baa5d82</vt:lpwstr>
  </op:property>
  <op:property fmtid="{D5CDD505-2E9C-101B-9397-08002B2CF9AE}" pid="7" name="Sectie">
    <vt:lpwstr>358;#Innovatie, Privacy ＆ Technologie|542a2c3a-4ffa-462e-99ef-841a0025a7f1</vt:lpwstr>
  </op:property>
  <op:property fmtid="{D5CDD505-2E9C-101B-9397-08002B2CF9AE}" pid="8" name="ProcessNameTaxHTField0">
    <vt:lpwstr>07|{f6349659-28b4-4e42-8e97-00cf326b8651}</vt:lpwstr>
  </op:property>
  <op:property fmtid="{D5CDD505-2E9C-101B-9397-08002B2CF9AE}" pid="9" name="PelsClient">
    <vt:lpwstr>522;#Vereniging van Nederlandse Gemeenten|b95273bc-6cc3-44fd-9e9c-645d8dd90015</vt:lpwstr>
  </op:property>
  <op:property fmtid="{D5CDD505-2E9C-101B-9397-08002B2CF9AE}" pid="10" name="Rechtsgebied">
    <vt:lpwstr>498;#Privacy ＆ gegevensbescherming|c29e1389-a371-4a21-8f9b-364a703bfb6b</vt:lpwstr>
  </op:property>
  <op:property fmtid="{D5CDD505-2E9C-101B-9397-08002B2CF9AE}" pid="11" name="Parent">
    <vt:lpwstr>522;#Vereniging van Nederlandse Gemeenten|b95273bc-6cc3-44fd-9e9c-645d8dd90015</vt:lpwstr>
  </op:property>
  <op:property fmtid="{D5CDD505-2E9C-101B-9397-08002B2CF9AE}" pid="12" name="ProcessName">
    <vt:lpwstr>1;#07|{f6349659-28b4-4e42-8e97-00cf326b8651}</vt:lpwstr>
  </op:property>
  <op:property fmtid="{D5CDD505-2E9C-101B-9397-08002B2CF9AE}" pid="13" name="_dlc_DocIdItemGuid">
    <vt:lpwstr>f96c1b22-197f-48e4-95fe-06f9588d10a5</vt:lpwstr>
  </op:property>
  <op:property fmtid="{D5CDD505-2E9C-101B-9397-08002B2CF9AE}" pid="14" name="PelsClientTaxHTField0">
    <vt:lpwstr>Vereniging van Nederlandse Gemeenten|b95273bc-6cc3-44fd-9e9c-645d8dd90015</vt:lpwstr>
  </op:property>
  <op:property fmtid="{D5CDD505-2E9C-101B-9397-08002B2CF9AE}" pid="15" name="ParentTaxHTField0">
    <vt:lpwstr>Vereniging van Nederlandse Gemeenten|b95273bc-6cc3-44fd-9e9c-645d8dd90015</vt:lpwstr>
  </op:property>
  <op:property fmtid="{D5CDD505-2E9C-101B-9397-08002B2CF9AE}" pid="16" name="SectorTaxHTField0">
    <vt:lpwstr>Provincies en gemeenten|fd63cead-3de8-4944-b412-861a9baa5d82</vt:lpwstr>
  </op:property>
  <op:property fmtid="{D5CDD505-2E9C-101B-9397-08002B2CF9AE}" pid="17" name="SectieTaxHTField0">
    <vt:lpwstr>Innovatie, Privacy ＆ Technologie|542a2c3a-4ffa-462e-99ef-841a0025a7f1</vt:lpwstr>
  </op:property>
  <op:property fmtid="{D5CDD505-2E9C-101B-9397-08002B2CF9AE}" pid="18" name="RechtsgebiedTaxHTField0">
    <vt:lpwstr>Privacy ＆ gegevensbescherming|c29e1389-a371-4a21-8f9b-364a703bfb6b</vt:lpwstr>
  </op:property>
  <op:property fmtid="{D5CDD505-2E9C-101B-9397-08002B2CF9AE}" pid="19" name="MatterCode">
    <vt:lpwstr> </vt:lpwstr>
  </op:property>
  <op:property fmtid="{D5CDD505-2E9C-101B-9397-08002B2CF9AE}" pid="20" name="Author_Username">
    <vt:lpwstr> </vt:lpwstr>
  </op:property>
</op:Properties>
</file>