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5FEC" w14:textId="34F1D1FB" w:rsidR="00635C2D" w:rsidRPr="00447A0D" w:rsidRDefault="008A008C">
      <w:pPr>
        <w:rPr>
          <w:b/>
        </w:rPr>
      </w:pPr>
      <w:r>
        <w:rPr>
          <w:b/>
        </w:rPr>
        <w:t xml:space="preserve">Bijlage B - </w:t>
      </w:r>
      <w:r w:rsidR="00635C2D" w:rsidRPr="00447A0D">
        <w:rPr>
          <w:b/>
        </w:rPr>
        <w:t>Plan van aanpak mitigere</w:t>
      </w:r>
      <w:r w:rsidR="00D547AC">
        <w:rPr>
          <w:b/>
        </w:rPr>
        <w:t>n risico</w:t>
      </w:r>
      <w:r w:rsidR="00A07FA3">
        <w:rPr>
          <w:b/>
        </w:rPr>
        <w:t xml:space="preserve"> </w:t>
      </w:r>
      <w:r w:rsidR="00FF631A">
        <w:rPr>
          <w:b/>
        </w:rPr>
        <w:t xml:space="preserve">faciliteren </w:t>
      </w:r>
      <w:r w:rsidR="00A07FA3">
        <w:rPr>
          <w:b/>
        </w:rPr>
        <w:t>culturele genocide of</w:t>
      </w:r>
      <w:r w:rsidR="00635C2D" w:rsidRPr="00447A0D">
        <w:rPr>
          <w:b/>
        </w:rPr>
        <w:t xml:space="preserve"> etnisch profileren</w:t>
      </w:r>
    </w:p>
    <w:p w14:paraId="152795C9" w14:textId="77777777" w:rsidR="00635C2D" w:rsidRDefault="00635C2D">
      <w:r>
        <w:t xml:space="preserve">De gemeente hecht aan </w:t>
      </w:r>
      <w:r w:rsidR="00830D14">
        <w:t xml:space="preserve">opdrachtnemers die </w:t>
      </w:r>
      <w:r>
        <w:t>verantwoord en duurzaam</w:t>
      </w:r>
      <w:r w:rsidR="005E0753">
        <w:t xml:space="preserve"> internationaal</w:t>
      </w:r>
      <w:r>
        <w:t xml:space="preserve"> ondernemen. </w:t>
      </w:r>
    </w:p>
    <w:p w14:paraId="2AAA0A93" w14:textId="4ECACDB1" w:rsidR="005E0753" w:rsidRDefault="00830D14" w:rsidP="00C954F7">
      <w:pPr>
        <w:spacing w:after="0" w:line="284" w:lineRule="exact"/>
      </w:pPr>
      <w:r>
        <w:t>In het verlengde daarvan wenst de gemeente de Inschrijver b</w:t>
      </w:r>
      <w:r w:rsidR="005E0753">
        <w:t>ovenop hetgee</w:t>
      </w:r>
      <w:r w:rsidR="00187F41">
        <w:t xml:space="preserve">n in </w:t>
      </w:r>
      <w:r w:rsidR="005E0753">
        <w:t xml:space="preserve">het Contract </w:t>
      </w:r>
      <w:r w:rsidR="00187F41">
        <w:t xml:space="preserve">(waaronder het Programma van Eisen) </w:t>
      </w:r>
      <w:r w:rsidR="005E0753">
        <w:t>wor</w:t>
      </w:r>
      <w:r>
        <w:t>dt geëist</w:t>
      </w:r>
      <w:r w:rsidR="005E0753">
        <w:t xml:space="preserve"> </w:t>
      </w:r>
      <w:r w:rsidR="005E0753" w:rsidRPr="005E0753">
        <w:t>uit te dagen om in</w:t>
      </w:r>
      <w:r w:rsidR="00BA0197">
        <w:t xml:space="preserve"> de keuzes die hij maakt voor het</w:t>
      </w:r>
      <w:r w:rsidR="005E0753" w:rsidRPr="005E0753">
        <w:t xml:space="preserve"> in te zetten </w:t>
      </w:r>
      <w:r w:rsidR="005E0753">
        <w:t>cameras</w:t>
      </w:r>
      <w:r w:rsidR="00BA0197">
        <w:t>ysteem</w:t>
      </w:r>
      <w:r w:rsidR="00447A0D">
        <w:t xml:space="preserve"> het mitigeren van</w:t>
      </w:r>
      <w:r>
        <w:t xml:space="preserve"> </w:t>
      </w:r>
      <w:r w:rsidR="002D112E">
        <w:t>het risico op het faciliteren van de mogelijkheid tot culturele genocide of etnisch profileren</w:t>
      </w:r>
      <w:r w:rsidR="00801568">
        <w:t xml:space="preserve"> zoveel als mogelijk </w:t>
      </w:r>
      <w:r w:rsidR="002D112E">
        <w:t>centraal</w:t>
      </w:r>
      <w:r w:rsidR="00447A0D">
        <w:t xml:space="preserve"> te stellen</w:t>
      </w:r>
      <w:r w:rsidR="005E0753" w:rsidRPr="005E0753">
        <w:t xml:space="preserve">. De </w:t>
      </w:r>
      <w:r>
        <w:t xml:space="preserve">Inschrijver dient daarom een </w:t>
      </w:r>
      <w:r w:rsidR="00187F41">
        <w:t>“</w:t>
      </w:r>
      <w:r>
        <w:t>Plan van Aanpak mitigere</w:t>
      </w:r>
      <w:r w:rsidR="00D547AC">
        <w:t>n risico</w:t>
      </w:r>
      <w:r w:rsidR="00FF631A">
        <w:t xml:space="preserve"> faciliteren</w:t>
      </w:r>
      <w:r w:rsidR="00A07FA3">
        <w:t xml:space="preserve"> culturele genocide of</w:t>
      </w:r>
      <w:r>
        <w:t xml:space="preserve"> etnisch profileren</w:t>
      </w:r>
      <w:r w:rsidR="00187F41">
        <w:t>”</w:t>
      </w:r>
      <w:r w:rsidR="005E0753" w:rsidRPr="005E0753">
        <w:t xml:space="preserve"> in te dienen.</w:t>
      </w:r>
    </w:p>
    <w:p w14:paraId="586478FA" w14:textId="77777777" w:rsidR="00C954F7" w:rsidRDefault="00C954F7" w:rsidP="00C954F7">
      <w:pPr>
        <w:spacing w:after="0" w:line="284" w:lineRule="exact"/>
      </w:pPr>
    </w:p>
    <w:p w14:paraId="2181E4EA" w14:textId="77777777" w:rsidR="00447A0D" w:rsidRPr="00E60E3D" w:rsidRDefault="00447A0D">
      <w:pPr>
        <w:rPr>
          <w:i/>
        </w:rPr>
      </w:pPr>
      <w:r w:rsidRPr="00E60E3D">
        <w:rPr>
          <w:i/>
        </w:rPr>
        <w:t>Eisen aan het Plan van Aanpak</w:t>
      </w:r>
    </w:p>
    <w:p w14:paraId="0F37B389" w14:textId="77777777" w:rsidR="002E7ACE" w:rsidRPr="00E60E3D" w:rsidRDefault="002D112E" w:rsidP="002E7ACE">
      <w:pPr>
        <w:spacing w:after="160" w:line="268" w:lineRule="atLeast"/>
      </w:pPr>
      <w:r>
        <w:t>Het</w:t>
      </w:r>
      <w:r w:rsidR="002E7ACE" w:rsidRPr="00E60E3D">
        <w:t xml:space="preserve"> P</w:t>
      </w:r>
      <w:r w:rsidR="00CE2033">
        <w:t xml:space="preserve">lan van Aanpak dient </w:t>
      </w:r>
      <w:r w:rsidR="002E7ACE" w:rsidRPr="00E60E3D">
        <w:t>de volgende onderdelen te bevatten:</w:t>
      </w:r>
    </w:p>
    <w:p w14:paraId="36352F39" w14:textId="77777777" w:rsidR="0022615F" w:rsidRDefault="0022615F" w:rsidP="002463FB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</w:p>
    <w:p w14:paraId="31616424" w14:textId="77777777" w:rsidR="002E7ACE" w:rsidRPr="00E60E3D" w:rsidRDefault="00693103" w:rsidP="002E7ACE">
      <w:pPr>
        <w:pStyle w:val="Lijstalinea"/>
        <w:numPr>
          <w:ilvl w:val="0"/>
          <w:numId w:val="2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Onderzoek</w:t>
      </w:r>
    </w:p>
    <w:p w14:paraId="004B8908" w14:textId="3403BB30" w:rsidR="00D547AC" w:rsidRPr="00D547AC" w:rsidRDefault="00D32D89" w:rsidP="00D547AC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Een </w:t>
      </w:r>
      <w:r w:rsidR="00693103">
        <w:rPr>
          <w:rFonts w:asciiTheme="minorHAnsi" w:hAnsiTheme="minorHAnsi"/>
          <w:sz w:val="22"/>
          <w:szCs w:val="22"/>
          <w:lang w:val="nl-NL"/>
        </w:rPr>
        <w:t>onderzoek</w:t>
      </w:r>
      <w:r w:rsidR="00A07FA3">
        <w:rPr>
          <w:rFonts w:asciiTheme="minorHAnsi" w:hAnsiTheme="minorHAnsi"/>
          <w:sz w:val="22"/>
          <w:szCs w:val="22"/>
          <w:lang w:val="nl-NL"/>
        </w:rPr>
        <w:t xml:space="preserve"> van</w:t>
      </w:r>
      <w:r w:rsidR="00911F66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693103">
        <w:rPr>
          <w:rFonts w:asciiTheme="minorHAnsi" w:hAnsiTheme="minorHAnsi"/>
          <w:sz w:val="22"/>
          <w:szCs w:val="22"/>
          <w:lang w:val="nl-NL"/>
        </w:rPr>
        <w:t>het</w:t>
      </w:r>
      <w:r w:rsidR="00C91C74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204D9C">
        <w:rPr>
          <w:rFonts w:asciiTheme="minorHAnsi" w:hAnsiTheme="minorHAnsi"/>
          <w:sz w:val="22"/>
          <w:szCs w:val="22"/>
          <w:lang w:val="nl-NL"/>
        </w:rPr>
        <w:t>risico</w:t>
      </w:r>
      <w:r w:rsidR="00911F66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204D9C">
        <w:rPr>
          <w:rFonts w:asciiTheme="minorHAnsi" w:hAnsiTheme="minorHAnsi"/>
          <w:sz w:val="22"/>
          <w:szCs w:val="22"/>
          <w:lang w:val="nl-NL"/>
        </w:rPr>
        <w:t>op</w:t>
      </w:r>
      <w:r w:rsidR="008A195E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204D9C">
        <w:rPr>
          <w:rFonts w:asciiTheme="minorHAnsi" w:hAnsiTheme="minorHAnsi"/>
          <w:sz w:val="22"/>
          <w:szCs w:val="22"/>
          <w:lang w:val="nl-NL"/>
        </w:rPr>
        <w:t xml:space="preserve">het </w:t>
      </w:r>
      <w:r w:rsidR="00204D9C" w:rsidRPr="00204D9C">
        <w:rPr>
          <w:lang w:val="nl-NL"/>
        </w:rPr>
        <w:t xml:space="preserve">faciliteren van de mogelijkheid tot culturele genocide of </w:t>
      </w:r>
      <w:r w:rsidR="00204D9C" w:rsidRPr="0077702A">
        <w:rPr>
          <w:lang w:val="nl-NL"/>
        </w:rPr>
        <w:t xml:space="preserve">etnisch profileren </w:t>
      </w:r>
      <w:r w:rsidR="000A313C" w:rsidRPr="0077702A">
        <w:rPr>
          <w:lang w:val="nl-NL"/>
        </w:rPr>
        <w:t xml:space="preserve">met </w:t>
      </w:r>
      <w:r w:rsidR="00BA0197">
        <w:rPr>
          <w:lang w:val="nl-NL"/>
        </w:rPr>
        <w:t>het</w:t>
      </w:r>
      <w:r w:rsidR="00D547AC" w:rsidRPr="0077702A">
        <w:rPr>
          <w:lang w:val="nl-NL"/>
        </w:rPr>
        <w:t xml:space="preserve"> door Inschrijver aangeboden cameras</w:t>
      </w:r>
      <w:r w:rsidR="00BA0197">
        <w:rPr>
          <w:lang w:val="nl-NL"/>
        </w:rPr>
        <w:t>ysteem</w:t>
      </w:r>
      <w:r w:rsidR="008A195E">
        <w:rPr>
          <w:lang w:val="nl-NL"/>
        </w:rPr>
        <w:t xml:space="preserve">. </w:t>
      </w:r>
      <w:r w:rsidR="0022615F">
        <w:rPr>
          <w:lang w:val="nl-NL"/>
        </w:rPr>
        <w:t xml:space="preserve"> </w:t>
      </w:r>
    </w:p>
    <w:p w14:paraId="6CD4A41D" w14:textId="77777777" w:rsidR="002E7ACE" w:rsidRPr="00E60E3D" w:rsidRDefault="002E7ACE" w:rsidP="002E7ACE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</w:p>
    <w:p w14:paraId="34A8CCD2" w14:textId="77777777" w:rsidR="002E7ACE" w:rsidRPr="00E60E3D" w:rsidRDefault="002E7ACE" w:rsidP="002E7ACE">
      <w:pPr>
        <w:pStyle w:val="Lijstalinea"/>
        <w:numPr>
          <w:ilvl w:val="0"/>
          <w:numId w:val="2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Beheersmaatregel(en)</w:t>
      </w:r>
    </w:p>
    <w:p w14:paraId="4AC665E3" w14:textId="1F0930CD" w:rsidR="002E7ACE" w:rsidRPr="00E60E3D" w:rsidRDefault="002E7ACE" w:rsidP="002E7ACE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De door inschrijver beoogde beheersmaatr</w:t>
      </w:r>
      <w:r w:rsidR="00CE2033">
        <w:rPr>
          <w:rFonts w:asciiTheme="minorHAnsi" w:hAnsiTheme="minorHAnsi"/>
          <w:sz w:val="22"/>
          <w:szCs w:val="22"/>
          <w:lang w:val="nl-NL"/>
        </w:rPr>
        <w:t xml:space="preserve">egel(en) </w:t>
      </w:r>
      <w:r w:rsidR="006E0B3B">
        <w:rPr>
          <w:rFonts w:asciiTheme="minorHAnsi" w:hAnsiTheme="minorHAnsi"/>
          <w:sz w:val="22"/>
          <w:szCs w:val="22"/>
          <w:lang w:val="nl-NL"/>
        </w:rPr>
        <w:t xml:space="preserve">ter mitigatie van </w:t>
      </w:r>
      <w:r w:rsidR="00911F66">
        <w:rPr>
          <w:rFonts w:asciiTheme="minorHAnsi" w:hAnsiTheme="minorHAnsi"/>
          <w:sz w:val="22"/>
          <w:szCs w:val="22"/>
          <w:lang w:val="nl-NL"/>
        </w:rPr>
        <w:t>vorenbedoeld</w:t>
      </w:r>
      <w:r w:rsidR="00204D9C">
        <w:rPr>
          <w:rFonts w:asciiTheme="minorHAnsi" w:hAnsiTheme="minorHAnsi"/>
          <w:sz w:val="22"/>
          <w:szCs w:val="22"/>
          <w:lang w:val="nl-NL"/>
        </w:rPr>
        <w:t xml:space="preserve"> risico</w:t>
      </w:r>
      <w:r w:rsidRPr="00E60E3D">
        <w:rPr>
          <w:rFonts w:asciiTheme="minorHAnsi" w:hAnsiTheme="minorHAnsi"/>
          <w:sz w:val="22"/>
          <w:szCs w:val="22"/>
          <w:lang w:val="nl-NL"/>
        </w:rPr>
        <w:t>, waarbij de beheersmaatregel(en) SMART zijn beschreven.</w:t>
      </w:r>
      <w:r w:rsidR="006B3621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383F87E3" w14:textId="77777777" w:rsidR="002E7ACE" w:rsidRPr="00E60E3D" w:rsidRDefault="002E7ACE" w:rsidP="002E7ACE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</w:p>
    <w:p w14:paraId="784CE1CF" w14:textId="77777777" w:rsidR="002E7ACE" w:rsidRPr="00E60E3D" w:rsidRDefault="002E7ACE" w:rsidP="002E7ACE">
      <w:pPr>
        <w:pStyle w:val="Lijstalinea"/>
        <w:numPr>
          <w:ilvl w:val="0"/>
          <w:numId w:val="2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Onderbouwing van de effectiviteit van de beheersmaatregel(en)</w:t>
      </w:r>
    </w:p>
    <w:p w14:paraId="387FB3F1" w14:textId="19EE391F" w:rsidR="00447A0D" w:rsidRDefault="002E7ACE" w:rsidP="00C954F7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 xml:space="preserve">De </w:t>
      </w:r>
      <w:r w:rsidR="00B7695E">
        <w:rPr>
          <w:rFonts w:asciiTheme="minorHAnsi" w:hAnsiTheme="minorHAnsi"/>
          <w:sz w:val="22"/>
          <w:szCs w:val="22"/>
          <w:lang w:val="nl-NL"/>
        </w:rPr>
        <w:t>I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nschrijver dient zo specifiek en nauwkeurig mogelijk te beschrijven wat het resterende risico(profiel) is na toepassing van de betreffende beheersmaatregel(en). Daartoe verstrekt de </w:t>
      </w:r>
      <w:r w:rsidR="003C5695">
        <w:rPr>
          <w:rFonts w:asciiTheme="minorHAnsi" w:hAnsiTheme="minorHAnsi"/>
          <w:sz w:val="22"/>
          <w:szCs w:val="22"/>
          <w:lang w:val="nl-NL"/>
        </w:rPr>
        <w:t>I</w:t>
      </w:r>
      <w:bookmarkStart w:id="0" w:name="OpenAt"/>
      <w:bookmarkStart w:id="1" w:name="_GoBack"/>
      <w:bookmarkEnd w:id="0"/>
      <w:bookmarkEnd w:id="1"/>
      <w:r w:rsidR="00911F66">
        <w:rPr>
          <w:rFonts w:asciiTheme="minorHAnsi" w:hAnsiTheme="minorHAnsi"/>
          <w:sz w:val="22"/>
          <w:szCs w:val="22"/>
          <w:lang w:val="nl-NL"/>
        </w:rPr>
        <w:t xml:space="preserve">nschrijver </w:t>
      </w:r>
      <w:r w:rsidR="002D112E">
        <w:rPr>
          <w:rFonts w:asciiTheme="minorHAnsi" w:hAnsiTheme="minorHAnsi"/>
          <w:sz w:val="22"/>
          <w:szCs w:val="22"/>
          <w:lang w:val="nl-NL"/>
        </w:rPr>
        <w:t>een onderbouwing van de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 effect</w:t>
      </w:r>
      <w:r w:rsidR="002D112E">
        <w:rPr>
          <w:rFonts w:asciiTheme="minorHAnsi" w:hAnsiTheme="minorHAnsi"/>
          <w:sz w:val="22"/>
          <w:szCs w:val="22"/>
          <w:lang w:val="nl-NL"/>
        </w:rPr>
        <w:t>iviteit van de beheersmaatregelen</w:t>
      </w:r>
      <w:r w:rsidRPr="00E60E3D">
        <w:rPr>
          <w:rFonts w:asciiTheme="minorHAnsi" w:hAnsiTheme="minorHAnsi"/>
          <w:sz w:val="22"/>
          <w:szCs w:val="22"/>
          <w:lang w:val="nl-NL"/>
        </w:rPr>
        <w:t>. Onder “onderbouwing” wordt verstaan: uitleg die de aanbesteder ervan overtuigt dat de maatregel</w:t>
      </w:r>
      <w:r w:rsidR="002D112E">
        <w:rPr>
          <w:rFonts w:asciiTheme="minorHAnsi" w:hAnsiTheme="minorHAnsi"/>
          <w:sz w:val="22"/>
          <w:szCs w:val="22"/>
          <w:lang w:val="nl-NL"/>
        </w:rPr>
        <w:t>en zullen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 werken.</w:t>
      </w:r>
      <w:r w:rsidR="0078172E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B7695E">
        <w:rPr>
          <w:rFonts w:asciiTheme="minorHAnsi" w:hAnsiTheme="minorHAnsi"/>
          <w:sz w:val="22"/>
          <w:szCs w:val="22"/>
          <w:lang w:val="nl-NL"/>
        </w:rPr>
        <w:t>In zijn onderbouwing dient de I</w:t>
      </w:r>
      <w:r w:rsidR="00BA0197">
        <w:rPr>
          <w:rFonts w:asciiTheme="minorHAnsi" w:hAnsiTheme="minorHAnsi"/>
          <w:sz w:val="22"/>
          <w:szCs w:val="22"/>
          <w:lang w:val="nl-NL"/>
        </w:rPr>
        <w:t xml:space="preserve">nschrijver </w:t>
      </w:r>
      <w:r w:rsidR="0078172E">
        <w:rPr>
          <w:rFonts w:asciiTheme="minorHAnsi" w:hAnsiTheme="minorHAnsi"/>
          <w:sz w:val="22"/>
          <w:szCs w:val="22"/>
          <w:lang w:val="nl-NL"/>
        </w:rPr>
        <w:t xml:space="preserve">ook aan te geven hoe de effectiviteit van de genomen </w:t>
      </w:r>
      <w:r w:rsidR="000C04FD">
        <w:rPr>
          <w:rFonts w:asciiTheme="minorHAnsi" w:hAnsiTheme="minorHAnsi"/>
          <w:sz w:val="22"/>
          <w:szCs w:val="22"/>
          <w:lang w:val="nl-NL"/>
        </w:rPr>
        <w:t>beheers</w:t>
      </w:r>
      <w:r w:rsidR="0078172E">
        <w:rPr>
          <w:rFonts w:asciiTheme="minorHAnsi" w:hAnsiTheme="minorHAnsi"/>
          <w:sz w:val="22"/>
          <w:szCs w:val="22"/>
          <w:lang w:val="nl-NL"/>
        </w:rPr>
        <w:t>maatregelen wordt gemonitord</w:t>
      </w:r>
      <w:r w:rsidR="00584614">
        <w:rPr>
          <w:rFonts w:asciiTheme="minorHAnsi" w:hAnsiTheme="minorHAnsi"/>
          <w:sz w:val="22"/>
          <w:szCs w:val="22"/>
          <w:lang w:val="nl-NL"/>
        </w:rPr>
        <w:t>.</w:t>
      </w:r>
    </w:p>
    <w:p w14:paraId="1626F434" w14:textId="77777777" w:rsidR="0078172E" w:rsidRDefault="0078172E" w:rsidP="00C954F7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</w:p>
    <w:p w14:paraId="4631C633" w14:textId="35CF061D" w:rsidR="00416AFE" w:rsidRPr="00E60E3D" w:rsidRDefault="00416AFE" w:rsidP="00416AFE">
      <w:pPr>
        <w:spacing w:after="160" w:line="268" w:lineRule="atLeast"/>
      </w:pPr>
      <w:r w:rsidRPr="00E60E3D">
        <w:t xml:space="preserve">Ad </w:t>
      </w:r>
      <w:r w:rsidR="0078172E">
        <w:t>c</w:t>
      </w:r>
      <w:r w:rsidRPr="00E60E3D">
        <w:t>)</w:t>
      </w:r>
      <w:r w:rsidRPr="00E60E3D">
        <w:tab/>
        <w:t>Beheersmaatregel(en)</w:t>
      </w:r>
    </w:p>
    <w:p w14:paraId="7E8D5B34" w14:textId="622A69AA" w:rsidR="00416AFE" w:rsidRPr="00E60E3D" w:rsidRDefault="00204D9C" w:rsidP="00416AFE">
      <w:pPr>
        <w:spacing w:line="268" w:lineRule="atLeast"/>
      </w:pPr>
      <w:r>
        <w:t xml:space="preserve">De </w:t>
      </w:r>
      <w:r w:rsidR="008A195E">
        <w:t>I</w:t>
      </w:r>
      <w:r>
        <w:t xml:space="preserve">nschrijver werkt </w:t>
      </w:r>
      <w:r w:rsidR="00416AFE" w:rsidRPr="00E60E3D">
        <w:t xml:space="preserve">de beheersmaatregelen uit </w:t>
      </w:r>
      <w:r w:rsidR="00C954F7">
        <w:t xml:space="preserve">met inachtneming van de volgende </w:t>
      </w:r>
      <w:r w:rsidR="00416AFE" w:rsidRPr="00E60E3D">
        <w:t>voorwaarden:</w:t>
      </w:r>
    </w:p>
    <w:p w14:paraId="0FF0E170" w14:textId="77777777" w:rsidR="00416AFE" w:rsidRPr="00E60E3D" w:rsidRDefault="00416AFE" w:rsidP="00416AFE">
      <w:pPr>
        <w:pStyle w:val="Lijstalinea"/>
        <w:numPr>
          <w:ilvl w:val="0"/>
          <w:numId w:val="3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De beheersmaatregelen moeten voldoen aan de aanbestedingsdocumenten. Het is niet toegestaan om beheersmaatregelen aan te bieden die s</w:t>
      </w:r>
      <w:r w:rsidR="00E60E3D" w:rsidRPr="00E60E3D">
        <w:rPr>
          <w:rFonts w:asciiTheme="minorHAnsi" w:hAnsiTheme="minorHAnsi"/>
          <w:sz w:val="22"/>
          <w:szCs w:val="22"/>
          <w:lang w:val="nl-NL"/>
        </w:rPr>
        <w:t>trijdig zijn met het Contract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 of wet- en regelgeving.</w:t>
      </w:r>
    </w:p>
    <w:p w14:paraId="27054FCB" w14:textId="77777777" w:rsidR="00416AFE" w:rsidRPr="00E60E3D" w:rsidRDefault="00416AFE" w:rsidP="00416AFE">
      <w:pPr>
        <w:pStyle w:val="Lijstalinea"/>
        <w:numPr>
          <w:ilvl w:val="0"/>
          <w:numId w:val="3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Toepassing van de beheersmaatregelen mag niet afhankelijk worden gemaakt van een daartoe strekkende keuze</w:t>
      </w:r>
      <w:r w:rsidR="0077702A">
        <w:rPr>
          <w:rFonts w:asciiTheme="minorHAnsi" w:hAnsiTheme="minorHAnsi"/>
          <w:sz w:val="22"/>
          <w:szCs w:val="22"/>
          <w:lang w:val="nl-NL"/>
        </w:rPr>
        <w:t xml:space="preserve"> of </w:t>
      </w:r>
      <w:r w:rsidR="00693103">
        <w:rPr>
          <w:rFonts w:asciiTheme="minorHAnsi" w:hAnsiTheme="minorHAnsi"/>
          <w:sz w:val="22"/>
          <w:szCs w:val="22"/>
          <w:lang w:val="nl-NL"/>
        </w:rPr>
        <w:t>handeling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 van de Opdrachtgever of derden (anders dan onder-opdrachtnemers). </w:t>
      </w:r>
    </w:p>
    <w:p w14:paraId="11D2EAE0" w14:textId="77777777" w:rsidR="00416AFE" w:rsidRPr="00E60E3D" w:rsidRDefault="00416AFE" w:rsidP="00416AFE">
      <w:pPr>
        <w:pStyle w:val="Lijstalinea"/>
        <w:numPr>
          <w:ilvl w:val="0"/>
          <w:numId w:val="3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Er mogen geen beheersmaatregelen worden voorgesteld die uitgevoerd worden in de periode vóór datum opdrachtverlening of na (deel)oplevering.</w:t>
      </w:r>
    </w:p>
    <w:p w14:paraId="63895BD4" w14:textId="04A62586" w:rsidR="00416AFE" w:rsidRPr="00C954F7" w:rsidRDefault="00416AFE" w:rsidP="00C954F7">
      <w:pPr>
        <w:pStyle w:val="Lijstalinea"/>
        <w:numPr>
          <w:ilvl w:val="0"/>
          <w:numId w:val="3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 xml:space="preserve">De </w:t>
      </w:r>
      <w:r w:rsidR="00404A67">
        <w:rPr>
          <w:rFonts w:asciiTheme="minorHAnsi" w:hAnsiTheme="minorHAnsi"/>
          <w:sz w:val="22"/>
          <w:szCs w:val="22"/>
          <w:lang w:val="nl-NL"/>
        </w:rPr>
        <w:t>beheersmaatregelen die door de I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nschrijver worden ingediend, dienen consistent te zijn met de overige onderdelen van de inschrijving. </w:t>
      </w:r>
    </w:p>
    <w:p w14:paraId="2794C6A8" w14:textId="77777777" w:rsidR="00416AFE" w:rsidRPr="00E60E3D" w:rsidRDefault="00416AFE">
      <w:pPr>
        <w:rPr>
          <w:i/>
        </w:rPr>
      </w:pPr>
      <w:r w:rsidRPr="00E60E3D">
        <w:rPr>
          <w:i/>
        </w:rPr>
        <w:t>Lay-out Plan van Aanpak</w:t>
      </w:r>
    </w:p>
    <w:p w14:paraId="1195F16D" w14:textId="77777777" w:rsidR="00447A0D" w:rsidRDefault="008052FF">
      <w:r w:rsidRPr="00FD77B2">
        <w:t>[PM. Aantal pagina’s, lettertype etc. in te vullen door gemeente]</w:t>
      </w:r>
    </w:p>
    <w:p w14:paraId="405BA6A2" w14:textId="77777777" w:rsidR="00447A0D" w:rsidRPr="00E60E3D" w:rsidRDefault="00447A0D" w:rsidP="00447A0D">
      <w:pPr>
        <w:spacing w:after="0" w:line="284" w:lineRule="exact"/>
        <w:rPr>
          <w:i/>
        </w:rPr>
      </w:pPr>
      <w:r w:rsidRPr="00E60E3D">
        <w:rPr>
          <w:i/>
        </w:rPr>
        <w:t>Beoordeling Plan van Aanpak</w:t>
      </w:r>
    </w:p>
    <w:p w14:paraId="17146BFF" w14:textId="77777777" w:rsidR="00447A0D" w:rsidRPr="00447A0D" w:rsidRDefault="00447A0D" w:rsidP="00447A0D">
      <w:pPr>
        <w:spacing w:after="0" w:line="284" w:lineRule="exact"/>
      </w:pPr>
    </w:p>
    <w:p w14:paraId="057FD2A2" w14:textId="3D1C5477" w:rsidR="00447A0D" w:rsidRDefault="00447A0D" w:rsidP="00447A0D">
      <w:pPr>
        <w:spacing w:after="0" w:line="284" w:lineRule="exact"/>
      </w:pPr>
      <w:r>
        <w:lastRenderedPageBreak/>
        <w:t xml:space="preserve">De gemeente </w:t>
      </w:r>
      <w:r w:rsidRPr="00447A0D">
        <w:t xml:space="preserve">beoordeelt </w:t>
      </w:r>
      <w:r>
        <w:t>de</w:t>
      </w:r>
      <w:r w:rsidR="00835626">
        <w:t xml:space="preserve"> mate waarin het geheel van </w:t>
      </w:r>
      <w:r w:rsidR="00432660">
        <w:t>het Onderzoek</w:t>
      </w:r>
      <w:r w:rsidR="00835626">
        <w:t xml:space="preserve">, de </w:t>
      </w:r>
      <w:r w:rsidR="00BB2FD0">
        <w:t>B</w:t>
      </w:r>
      <w:r w:rsidR="00835626">
        <w:t xml:space="preserve">eheersmaatregel(en) en de </w:t>
      </w:r>
      <w:r w:rsidR="00BB2FD0">
        <w:t>O</w:t>
      </w:r>
      <w:r w:rsidR="00835626">
        <w:t>nderbouwing</w:t>
      </w:r>
      <w:r w:rsidR="009102FF">
        <w:t xml:space="preserve"> van de</w:t>
      </w:r>
      <w:r w:rsidR="00835626">
        <w:t xml:space="preserve"> effectiviteit </w:t>
      </w:r>
      <w:r w:rsidR="009102FF">
        <w:t xml:space="preserve">van de </w:t>
      </w:r>
      <w:r w:rsidR="00835626">
        <w:t xml:space="preserve">beheersmaatregel(en) </w:t>
      </w:r>
      <w:r w:rsidRPr="00447A0D">
        <w:t xml:space="preserve">boven de verplichtingen van </w:t>
      </w:r>
      <w:r>
        <w:t>het Contract (waaronder het Programma van Eisen</w:t>
      </w:r>
      <w:r w:rsidRPr="00447A0D">
        <w:t>) bijdraagt</w:t>
      </w:r>
      <w:r w:rsidR="00416AFE">
        <w:t xml:space="preserve"> aan de mi</w:t>
      </w:r>
      <w:r w:rsidR="00BB2FD0">
        <w:t>tigatie</w:t>
      </w:r>
      <w:r w:rsidR="00A07FA3">
        <w:t xml:space="preserve"> van het risico op het </w:t>
      </w:r>
      <w:r w:rsidR="00A07FA3" w:rsidRPr="00204D9C">
        <w:t xml:space="preserve">faciliteren van de mogelijkheid tot culturele genocide of etnisch </w:t>
      </w:r>
      <w:r w:rsidR="00A07FA3" w:rsidRPr="0077702A">
        <w:t>profileren</w:t>
      </w:r>
      <w:r w:rsidR="002F164F" w:rsidRPr="0077702A">
        <w:t xml:space="preserve"> </w:t>
      </w:r>
      <w:r w:rsidR="000A313C" w:rsidRPr="0077702A">
        <w:t>met</w:t>
      </w:r>
      <w:r w:rsidR="00BA0197">
        <w:t xml:space="preserve"> het</w:t>
      </w:r>
      <w:r w:rsidR="002F164F" w:rsidRPr="0077702A">
        <w:t xml:space="preserve"> doo</w:t>
      </w:r>
      <w:r w:rsidR="00BA0197">
        <w:t>r Inschrijver aangeboden camera</w:t>
      </w:r>
      <w:r w:rsidR="002F164F" w:rsidRPr="0077702A">
        <w:t>s</w:t>
      </w:r>
      <w:r w:rsidR="00BA0197">
        <w:t>ysteem</w:t>
      </w:r>
      <w:r w:rsidR="002F164F" w:rsidRPr="0077702A">
        <w:t>.</w:t>
      </w:r>
      <w:r w:rsidR="00404A67">
        <w:t xml:space="preserve"> </w:t>
      </w:r>
      <w:r w:rsidRPr="0077702A">
        <w:t xml:space="preserve">Hierbij geldt </w:t>
      </w:r>
      <w:r w:rsidR="00187F41" w:rsidRPr="0077702A">
        <w:t>dat hoe meer SMART het Plan van Aa</w:t>
      </w:r>
      <w:r w:rsidR="00187F41">
        <w:t>npak</w:t>
      </w:r>
      <w:r w:rsidRPr="00447A0D">
        <w:t xml:space="preserve"> is beschre</w:t>
      </w:r>
      <w:r w:rsidR="00187F41">
        <w:t>ven, hoe beter het Plan van Aanpak</w:t>
      </w:r>
      <w:r w:rsidRPr="00447A0D">
        <w:t xml:space="preserve"> wordt beoordeeld.</w:t>
      </w:r>
      <w:r w:rsidR="00835626">
        <w:t xml:space="preserve"> </w:t>
      </w:r>
    </w:p>
    <w:p w14:paraId="13C03EC9" w14:textId="77777777" w:rsidR="00447A0D" w:rsidRPr="00447A0D" w:rsidRDefault="00447A0D" w:rsidP="002D112E">
      <w:pPr>
        <w:spacing w:after="0" w:line="284" w:lineRule="exact"/>
      </w:pPr>
    </w:p>
    <w:p w14:paraId="513565C2" w14:textId="77777777" w:rsidR="00447A0D" w:rsidRDefault="00447A0D" w:rsidP="00447A0D">
      <w:pPr>
        <w:spacing w:after="0" w:line="284" w:lineRule="exact"/>
      </w:pPr>
      <w:r w:rsidRPr="00447A0D">
        <w:t>Bij de b</w:t>
      </w:r>
      <w:r w:rsidR="00187F41">
        <w:t>eoordeling van het Plan van Aanpak hanteert de gemeente onderstaande</w:t>
      </w:r>
      <w:r w:rsidRPr="00447A0D">
        <w:t xml:space="preserve"> </w:t>
      </w:r>
      <w:r w:rsidR="00187F41">
        <w:t xml:space="preserve">tabel </w:t>
      </w:r>
      <w:r w:rsidRPr="00447A0D">
        <w:t>om tot een sc</w:t>
      </w:r>
      <w:r w:rsidR="00187F41">
        <w:t>ore te komen:</w:t>
      </w:r>
    </w:p>
    <w:p w14:paraId="088D9AEC" w14:textId="77777777" w:rsidR="00187F41" w:rsidRDefault="00187F41" w:rsidP="00447A0D">
      <w:pPr>
        <w:spacing w:after="0" w:line="284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6"/>
        <w:gridCol w:w="4200"/>
        <w:gridCol w:w="2626"/>
      </w:tblGrid>
      <w:tr w:rsidR="002E7ACE" w:rsidRPr="00FC7CE7" w14:paraId="2CC26905" w14:textId="77777777" w:rsidTr="00D92063">
        <w:trPr>
          <w:trHeight w:val="416"/>
        </w:trPr>
        <w:tc>
          <w:tcPr>
            <w:tcW w:w="2263" w:type="dxa"/>
          </w:tcPr>
          <w:p w14:paraId="3B7D023D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Beoordelingscijfer</w:t>
            </w:r>
          </w:p>
        </w:tc>
        <w:tc>
          <w:tcPr>
            <w:tcW w:w="4395" w:type="dxa"/>
          </w:tcPr>
          <w:p w14:paraId="45CBA1F8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Waardering</w:t>
            </w:r>
          </w:p>
        </w:tc>
        <w:tc>
          <w:tcPr>
            <w:tcW w:w="2714" w:type="dxa"/>
          </w:tcPr>
          <w:p w14:paraId="30118FB2" w14:textId="77777777" w:rsidR="002E7ACE" w:rsidRPr="00E60E3D" w:rsidRDefault="00E60E3D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Toegekende pun</w:t>
            </w:r>
            <w:r w:rsidR="002E7ACE"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ten</w:t>
            </w:r>
          </w:p>
        </w:tc>
      </w:tr>
      <w:tr w:rsidR="002E7ACE" w:rsidRPr="00FC7CE7" w14:paraId="406352D6" w14:textId="77777777" w:rsidTr="00D92063">
        <w:trPr>
          <w:trHeight w:val="482"/>
        </w:trPr>
        <w:tc>
          <w:tcPr>
            <w:tcW w:w="2263" w:type="dxa"/>
          </w:tcPr>
          <w:p w14:paraId="3943B7FD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5" w:type="dxa"/>
          </w:tcPr>
          <w:p w14:paraId="75F63036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Uitstekende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tigatie 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van het risico</w:t>
            </w:r>
          </w:p>
        </w:tc>
        <w:tc>
          <w:tcPr>
            <w:tcW w:w="2714" w:type="dxa"/>
          </w:tcPr>
          <w:p w14:paraId="00A47684" w14:textId="77777777" w:rsidR="002E7ACE" w:rsidRPr="00E60E3D" w:rsidRDefault="00C954F7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[invullen gemeente]</w:t>
            </w:r>
          </w:p>
        </w:tc>
      </w:tr>
      <w:tr w:rsidR="002E7ACE" w:rsidRPr="00FC7CE7" w14:paraId="7FF6D44C" w14:textId="77777777" w:rsidTr="00D92063">
        <w:tc>
          <w:tcPr>
            <w:tcW w:w="2263" w:type="dxa"/>
          </w:tcPr>
          <w:p w14:paraId="3D6DAE04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5" w:type="dxa"/>
          </w:tcPr>
          <w:p w14:paraId="33B99F54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Zeer goede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tigatie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van het risico</w:t>
            </w:r>
          </w:p>
        </w:tc>
        <w:tc>
          <w:tcPr>
            <w:tcW w:w="2714" w:type="dxa"/>
          </w:tcPr>
          <w:p w14:paraId="7322251E" w14:textId="77777777" w:rsidR="002E7ACE" w:rsidRPr="00E60E3D" w:rsidRDefault="00C954F7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[invullen gemeente]</w:t>
            </w:r>
          </w:p>
        </w:tc>
      </w:tr>
      <w:tr w:rsidR="002E7ACE" w:rsidRPr="00FC7CE7" w14:paraId="46F71611" w14:textId="77777777" w:rsidTr="00D92063">
        <w:tc>
          <w:tcPr>
            <w:tcW w:w="2263" w:type="dxa"/>
          </w:tcPr>
          <w:p w14:paraId="3B3B7719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14:paraId="7354CDED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Goede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tigatie 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van het risico</w:t>
            </w:r>
          </w:p>
        </w:tc>
        <w:tc>
          <w:tcPr>
            <w:tcW w:w="2714" w:type="dxa"/>
          </w:tcPr>
          <w:p w14:paraId="176CE0C1" w14:textId="77777777" w:rsidR="002E7ACE" w:rsidRPr="00E60E3D" w:rsidRDefault="00C954F7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[invullen gemeente]</w:t>
            </w:r>
          </w:p>
        </w:tc>
      </w:tr>
      <w:tr w:rsidR="002E7ACE" w:rsidRPr="00FC7CE7" w14:paraId="1BAD1CAD" w14:textId="77777777" w:rsidTr="00D92063">
        <w:tc>
          <w:tcPr>
            <w:tcW w:w="2263" w:type="dxa"/>
          </w:tcPr>
          <w:p w14:paraId="10166EBC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14:paraId="47A2CCA2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Redelijke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tigatie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van het risico</w:t>
            </w:r>
          </w:p>
        </w:tc>
        <w:tc>
          <w:tcPr>
            <w:tcW w:w="2714" w:type="dxa"/>
          </w:tcPr>
          <w:p w14:paraId="4B912E61" w14:textId="77777777" w:rsidR="002E7ACE" w:rsidRPr="00E60E3D" w:rsidRDefault="00C954F7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[invullen gemeente]</w:t>
            </w:r>
          </w:p>
        </w:tc>
      </w:tr>
      <w:tr w:rsidR="002E7ACE" w:rsidRPr="00FC7CE7" w14:paraId="286535BD" w14:textId="77777777" w:rsidTr="00D92063">
        <w:tc>
          <w:tcPr>
            <w:tcW w:w="2263" w:type="dxa"/>
          </w:tcPr>
          <w:p w14:paraId="5B31DFBA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14:paraId="2360DC55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Niet of nauwelijks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tigatie 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van het risico</w:t>
            </w:r>
          </w:p>
        </w:tc>
        <w:tc>
          <w:tcPr>
            <w:tcW w:w="2714" w:type="dxa"/>
          </w:tcPr>
          <w:p w14:paraId="55F162B9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</w:tbl>
    <w:p w14:paraId="4DCB6807" w14:textId="77777777" w:rsidR="00187F41" w:rsidRPr="00447A0D" w:rsidRDefault="00187F41" w:rsidP="00447A0D">
      <w:pPr>
        <w:spacing w:after="0" w:line="284" w:lineRule="exact"/>
      </w:pPr>
    </w:p>
    <w:p w14:paraId="0F62C29E" w14:textId="77777777" w:rsidR="00447A0D" w:rsidRDefault="00447A0D"/>
    <w:p w14:paraId="5AD0D45B" w14:textId="77777777" w:rsidR="00447A0D" w:rsidRDefault="00447A0D"/>
    <w:p w14:paraId="186F804D" w14:textId="77777777" w:rsidR="00447A0D" w:rsidRDefault="00447A0D"/>
    <w:p w14:paraId="0899CA44" w14:textId="77777777" w:rsidR="00447A0D" w:rsidRDefault="00447A0D"/>
    <w:p w14:paraId="0EF14056" w14:textId="77777777" w:rsidR="00447A0D" w:rsidRDefault="00447A0D"/>
    <w:p w14:paraId="583DEE78" w14:textId="77777777" w:rsidR="00635C2D" w:rsidRDefault="00635C2D"/>
    <w:p w14:paraId="5AF25985" w14:textId="77777777" w:rsidR="00635C2D" w:rsidRDefault="00635C2D"/>
    <w:sectPr w:rsidR="0063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DFC"/>
    <w:multiLevelType w:val="hybridMultilevel"/>
    <w:tmpl w:val="CBB20662"/>
    <w:lvl w:ilvl="0" w:tplc="98E4E630">
      <w:start w:val="1"/>
      <w:numFmt w:val="decimal"/>
      <w:pStyle w:val="Lijstalinea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170463"/>
    <w:multiLevelType w:val="hybridMultilevel"/>
    <w:tmpl w:val="11765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223D"/>
    <w:multiLevelType w:val="hybridMultilevel"/>
    <w:tmpl w:val="89E2051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2D"/>
    <w:rsid w:val="00004CC2"/>
    <w:rsid w:val="000828B6"/>
    <w:rsid w:val="000A313C"/>
    <w:rsid w:val="000C04FD"/>
    <w:rsid w:val="000D0A11"/>
    <w:rsid w:val="000E64F2"/>
    <w:rsid w:val="0014735A"/>
    <w:rsid w:val="00150735"/>
    <w:rsid w:val="00154A88"/>
    <w:rsid w:val="00187F41"/>
    <w:rsid w:val="00204D9C"/>
    <w:rsid w:val="0022297B"/>
    <w:rsid w:val="00223512"/>
    <w:rsid w:val="0022615F"/>
    <w:rsid w:val="00227AD9"/>
    <w:rsid w:val="002463FB"/>
    <w:rsid w:val="00252FA4"/>
    <w:rsid w:val="002D112E"/>
    <w:rsid w:val="002E7ACE"/>
    <w:rsid w:val="002F164F"/>
    <w:rsid w:val="00317C6B"/>
    <w:rsid w:val="00393C6A"/>
    <w:rsid w:val="003C5695"/>
    <w:rsid w:val="00404A67"/>
    <w:rsid w:val="00416AFE"/>
    <w:rsid w:val="00432660"/>
    <w:rsid w:val="00447A0D"/>
    <w:rsid w:val="00467B26"/>
    <w:rsid w:val="004C7E9A"/>
    <w:rsid w:val="00584614"/>
    <w:rsid w:val="005E0753"/>
    <w:rsid w:val="00613A84"/>
    <w:rsid w:val="00635C2D"/>
    <w:rsid w:val="00693103"/>
    <w:rsid w:val="006B3621"/>
    <w:rsid w:val="006E0B3B"/>
    <w:rsid w:val="00740F7C"/>
    <w:rsid w:val="0077702A"/>
    <w:rsid w:val="0078172E"/>
    <w:rsid w:val="00801568"/>
    <w:rsid w:val="008052FF"/>
    <w:rsid w:val="00830D14"/>
    <w:rsid w:val="00835626"/>
    <w:rsid w:val="008A008C"/>
    <w:rsid w:val="008A195E"/>
    <w:rsid w:val="008C4BFE"/>
    <w:rsid w:val="009102FF"/>
    <w:rsid w:val="00911F66"/>
    <w:rsid w:val="00A07FA3"/>
    <w:rsid w:val="00B7695E"/>
    <w:rsid w:val="00B813A6"/>
    <w:rsid w:val="00BA0197"/>
    <w:rsid w:val="00BB2FD0"/>
    <w:rsid w:val="00C91C74"/>
    <w:rsid w:val="00C954F7"/>
    <w:rsid w:val="00CE2033"/>
    <w:rsid w:val="00D32D89"/>
    <w:rsid w:val="00D47E23"/>
    <w:rsid w:val="00D547AC"/>
    <w:rsid w:val="00E42397"/>
    <w:rsid w:val="00E56992"/>
    <w:rsid w:val="00E60E3D"/>
    <w:rsid w:val="00F05627"/>
    <w:rsid w:val="00F33409"/>
    <w:rsid w:val="00FD77B2"/>
    <w:rsid w:val="00FE4C8D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3A74"/>
  <w15:chartTrackingRefBased/>
  <w15:docId w15:val="{7DEF3EA9-4FB0-49AA-9219-85C03A44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E7ACE"/>
    <w:pPr>
      <w:spacing w:after="0" w:line="240" w:lineRule="auto"/>
    </w:pPr>
    <w:rPr>
      <w:rFonts w:ascii="Times New Roman" w:eastAsia="DejaVu Sans" w:hAnsi="Times New Roman" w:cs="Lohit Hindi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aliases w:val="Opsomblokjes en substreepjes,List Paragraph"/>
    <w:basedOn w:val="Standaard"/>
    <w:link w:val="LijstalineaChar"/>
    <w:uiPriority w:val="34"/>
    <w:qFormat/>
    <w:rsid w:val="002E7ACE"/>
    <w:pPr>
      <w:numPr>
        <w:numId w:val="1"/>
      </w:numPr>
      <w:spacing w:after="0" w:line="240" w:lineRule="atLeast"/>
      <w:contextualSpacing/>
    </w:pPr>
    <w:rPr>
      <w:rFonts w:ascii="Verdana" w:hAnsi="Verdana"/>
      <w:sz w:val="18"/>
      <w:szCs w:val="18"/>
      <w:lang w:val="en-US"/>
    </w:rPr>
  </w:style>
  <w:style w:type="character" w:customStyle="1" w:styleId="LijstalineaChar">
    <w:name w:val="Lijstalinea Char"/>
    <w:aliases w:val="Opsomblokjes en substreepjes Char,List Paragraph Char"/>
    <w:basedOn w:val="Standaardalinea-lettertype"/>
    <w:link w:val="Lijstalinea"/>
    <w:uiPriority w:val="34"/>
    <w:rsid w:val="002E7ACE"/>
    <w:rPr>
      <w:rFonts w:ascii="Verdana" w:hAnsi="Verdana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1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C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C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C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C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C747C6B6D834282F5818A0AF7D7D7" ma:contentTypeVersion="18" ma:contentTypeDescription="Een nieuw document maken." ma:contentTypeScope="" ma:versionID="4f39cbd2d73fbf3eab0b2ce01fba9578">
  <xsd:schema xmlns:xsd="http://www.w3.org/2001/XMLSchema" xmlns:xs="http://www.w3.org/2001/XMLSchema" xmlns:p="http://schemas.microsoft.com/office/2006/metadata/properties" xmlns:ns2="34d0b02e-62e7-4c18-8658-6127ab53c39f" xmlns:ns3="9cd96db0-5a15-4537-998d-39ca8fb0e7e8" targetNamespace="http://schemas.microsoft.com/office/2006/metadata/properties" ma:root="true" ma:fieldsID="ac8ae03280780168d4cb7b69261dc8d4" ns2:_="" ns3:_="">
    <xsd:import namespace="34d0b02e-62e7-4c18-8658-6127ab53c39f"/>
    <xsd:import namespace="9cd96db0-5a15-4537-998d-39ca8fb0e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DV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b02e-62e7-4c18-8658-6127ab53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ADV" ma:index="20" nillable="true" ma:displayName="ADV" ma:format="Hyperlink" ma:internalName="AD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6db0-5a15-4537-998d-39ca8fb0e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04153-f4b1-4fdc-95f5-6affe33ee359}" ma:internalName="TaxCatchAll" ma:showField="CatchAllData" ma:web="9cd96db0-5a15-4537-998d-39ca8fb0e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99DC1-D524-4D02-A55B-59F6D3A03D12}"/>
</file>

<file path=customXml/itemProps2.xml><?xml version="1.0" encoding="utf-8"?>
<ds:datastoreItem xmlns:ds="http://schemas.openxmlformats.org/officeDocument/2006/customXml" ds:itemID="{68C072A9-0E67-4DEE-9DF5-B3C63A62D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3070</Characters>
  <Application>Microsoft Office Word</Application>
  <DocSecurity>0</DocSecurity>
  <Lines>80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2024-01-24T12:33:00Z</dcterms:created>
  <dcterms:modified xsi:type="dcterms:W3CDTF">2024-01-24T12:33:00Z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0x0101007A6E4A62A1A34FCBB5DB597108C1AEB0011400D35D08DA1303D945B43C1AF758C5306C</vt:lpwstr>
  </op:property>
  <op:property fmtid="{D5CDD505-2E9C-101B-9397-08002B2CF9AE}" pid="3" name="ContentType">
    <vt:lpwstr>Notitie</vt:lpwstr>
  </op:property>
  <op:property fmtid="{D5CDD505-2E9C-101B-9397-08002B2CF9AE}" pid="4" name="Sector">
    <vt:lpwstr>59;#Provincies en gemeenten|fd63cead-3de8-4944-b412-861a9baa5d82</vt:lpwstr>
  </op:property>
  <op:property fmtid="{D5CDD505-2E9C-101B-9397-08002B2CF9AE}" pid="5" name="Sectie">
    <vt:lpwstr>358;#Innovatie, Privacy ＆ Technologie|542a2c3a-4ffa-462e-99ef-841a0025a7f1</vt:lpwstr>
  </op:property>
  <op:property fmtid="{D5CDD505-2E9C-101B-9397-08002B2CF9AE}" pid="6" name="ProcessNameTaxHTField0">
    <vt:lpwstr>07|{f6349659-28b4-4e42-8e97-00cf326b8651}</vt:lpwstr>
  </op:property>
  <op:property fmtid="{D5CDD505-2E9C-101B-9397-08002B2CF9AE}" pid="7" name="PelsClient">
    <vt:lpwstr>522;#Vereniging van Nederlandse Gemeenten|b95273bc-6cc3-44fd-9e9c-645d8dd90015</vt:lpwstr>
  </op:property>
  <op:property fmtid="{D5CDD505-2E9C-101B-9397-08002B2CF9AE}" pid="8" name="Rechtsgebied">
    <vt:lpwstr>498;#Privacy ＆ gegevensbescherming|c29e1389-a371-4a21-8f9b-364a703bfb6b</vt:lpwstr>
  </op:property>
  <op:property fmtid="{D5CDD505-2E9C-101B-9397-08002B2CF9AE}" pid="9" name="Parent">
    <vt:lpwstr>522;#Vereniging van Nederlandse Gemeenten|b95273bc-6cc3-44fd-9e9c-645d8dd90015</vt:lpwstr>
  </op:property>
  <op:property fmtid="{D5CDD505-2E9C-101B-9397-08002B2CF9AE}" pid="10" name="ProcessName">
    <vt:lpwstr>1;#07|{f6349659-28b4-4e42-8e97-00cf326b8651}</vt:lpwstr>
  </op:property>
  <op:property fmtid="{D5CDD505-2E9C-101B-9397-08002B2CF9AE}" pid="11" name="_dlc_DocIdItemGuid">
    <vt:lpwstr>8ae95fb9-241c-4d94-8d7e-8d37f5f67d00</vt:lpwstr>
  </op:property>
  <op:property fmtid="{D5CDD505-2E9C-101B-9397-08002B2CF9AE}" pid="12" name="PelsClientTaxHTField0">
    <vt:lpwstr>Vereniging van Nederlandse Gemeenten|b95273bc-6cc3-44fd-9e9c-645d8dd90015</vt:lpwstr>
  </op:property>
  <op:property fmtid="{D5CDD505-2E9C-101B-9397-08002B2CF9AE}" pid="13" name="ParentTaxHTField0">
    <vt:lpwstr>Vereniging van Nederlandse Gemeenten|b95273bc-6cc3-44fd-9e9c-645d8dd90015</vt:lpwstr>
  </op:property>
  <op:property fmtid="{D5CDD505-2E9C-101B-9397-08002B2CF9AE}" pid="14" name="SectorTaxHTField0">
    <vt:lpwstr>Provincies en gemeenten|fd63cead-3de8-4944-b412-861a9baa5d82</vt:lpwstr>
  </op:property>
  <op:property fmtid="{D5CDD505-2E9C-101B-9397-08002B2CF9AE}" pid="15" name="SectieTaxHTField0">
    <vt:lpwstr>Innovatie, Privacy ＆ Technologie|542a2c3a-4ffa-462e-99ef-841a0025a7f1</vt:lpwstr>
  </op:property>
  <op:property fmtid="{D5CDD505-2E9C-101B-9397-08002B2CF9AE}" pid="16" name="RechtsgebiedTaxHTField0">
    <vt:lpwstr>Privacy ＆ gegevensbescherming|c29e1389-a371-4a21-8f9b-364a703bfb6b</vt:lpwstr>
  </op:property>
  <op:property fmtid="{D5CDD505-2E9C-101B-9397-08002B2CF9AE}" pid="17" name="MatterCode">
    <vt:lpwstr> </vt:lpwstr>
  </op:property>
  <op:property fmtid="{D5CDD505-2E9C-101B-9397-08002B2CF9AE}" pid="18" name="Author_Username">
    <vt:lpwstr> </vt:lpwstr>
  </op:property>
</op:Properties>
</file>