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7358" w14:textId="77777777" w:rsidR="000B0118" w:rsidRPr="00F47F59" w:rsidRDefault="00F47F59" w:rsidP="000B0118">
      <w:pPr>
        <w:rPr>
          <w:b/>
          <w:bCs/>
        </w:rPr>
      </w:pPr>
      <w:r w:rsidRPr="00F47F59">
        <w:rPr>
          <w:rFonts w:cs="Arial"/>
          <w:b/>
        </w:rPr>
        <w:t xml:space="preserve">Was-wordt-tabel wijzigingen </w:t>
      </w:r>
      <w:r w:rsidR="000B0118" w:rsidRPr="00B473FA">
        <w:rPr>
          <w:b/>
          <w:bCs/>
        </w:rPr>
        <w:t>Model</w:t>
      </w:r>
      <w:r w:rsidR="000B0118">
        <w:rPr>
          <w:b/>
          <w:bCs/>
        </w:rPr>
        <w:t xml:space="preserve"> Leidraad invordering gemeentelijke belastingen</w:t>
      </w:r>
    </w:p>
    <w:p w14:paraId="131411E0" w14:textId="5B0D03AE" w:rsidR="00F47F59" w:rsidRDefault="002A5771" w:rsidP="00F47F59">
      <w:pPr>
        <w:rPr>
          <w:rFonts w:cs="Arial"/>
          <w:b/>
        </w:rPr>
      </w:pPr>
      <w:r>
        <w:rPr>
          <w:rFonts w:cs="Arial"/>
          <w:b/>
        </w:rPr>
        <w:t>mei</w:t>
      </w:r>
      <w:r w:rsidR="00F47F59" w:rsidRPr="00F47F59">
        <w:rPr>
          <w:rFonts w:cs="Arial"/>
          <w:b/>
        </w:rPr>
        <w:t xml:space="preserve"> 202</w:t>
      </w:r>
      <w:r w:rsidR="00D2106B">
        <w:rPr>
          <w:rFonts w:cs="Arial"/>
          <w:b/>
        </w:rPr>
        <w:t>4</w:t>
      </w:r>
      <w:r w:rsidR="00F47F59" w:rsidRPr="00F47F59">
        <w:rPr>
          <w:rFonts w:cs="Arial"/>
          <w:b/>
        </w:rPr>
        <w:t xml:space="preserve"> </w:t>
      </w:r>
    </w:p>
    <w:p w14:paraId="1C9264D2" w14:textId="77777777" w:rsidR="00D2106B" w:rsidRPr="00F47F59" w:rsidRDefault="00D2106B" w:rsidP="00F47F59">
      <w:pPr>
        <w:rPr>
          <w:rFonts w:cs="Arial"/>
          <w:b/>
        </w:rPr>
      </w:pPr>
    </w:p>
    <w:p w14:paraId="2DC29B7E" w14:textId="77777777" w:rsidR="00D2106B" w:rsidRPr="00F47F59" w:rsidRDefault="00D2106B" w:rsidP="00D2106B">
      <w:pPr>
        <w:pBdr>
          <w:top w:val="single" w:sz="4" w:space="1" w:color="auto"/>
          <w:left w:val="single" w:sz="4" w:space="4" w:color="auto"/>
          <w:bottom w:val="single" w:sz="4" w:space="9" w:color="auto"/>
          <w:right w:val="single" w:sz="4" w:space="4" w:color="auto"/>
        </w:pBdr>
        <w:rPr>
          <w:rFonts w:cs="Arial"/>
          <w:b/>
          <w:bCs/>
        </w:rPr>
      </w:pPr>
      <w:r w:rsidRPr="00F47F59">
        <w:rPr>
          <w:rFonts w:cs="Arial"/>
          <w:b/>
          <w:bCs/>
        </w:rPr>
        <w:t>Leeswijzer modelbepalingen</w:t>
      </w:r>
    </w:p>
    <w:p w14:paraId="1DD3F389" w14:textId="77777777" w:rsidR="00D2106B" w:rsidRPr="00F47F59" w:rsidRDefault="00D2106B" w:rsidP="00D2106B">
      <w:pPr>
        <w:pBdr>
          <w:top w:val="single" w:sz="4" w:space="1" w:color="auto"/>
          <w:left w:val="single" w:sz="4" w:space="4" w:color="auto"/>
          <w:bottom w:val="single" w:sz="4" w:space="9" w:color="auto"/>
          <w:right w:val="single" w:sz="4" w:space="4" w:color="auto"/>
        </w:pBdr>
        <w:rPr>
          <w:rFonts w:cs="Arial"/>
          <w:b/>
          <w:bCs/>
        </w:rPr>
      </w:pPr>
      <w:r w:rsidRPr="00F47F59">
        <w:rPr>
          <w:rFonts w:cs="Arial"/>
        </w:rPr>
        <w:t xml:space="preserve">In de ‘bestaande tekst’ zijn de woorden en leestekens waaraan iets verandert, </w:t>
      </w:r>
      <w:r w:rsidRPr="00F47F59">
        <w:rPr>
          <w:rFonts w:cs="Arial"/>
          <w:i/>
        </w:rPr>
        <w:t>cursief</w:t>
      </w:r>
      <w:r w:rsidRPr="00F47F59">
        <w:rPr>
          <w:rFonts w:cs="Arial"/>
        </w:rPr>
        <w:t xml:space="preserve"> gezet en – als het een facultatieve bepaling betreft – ook </w:t>
      </w:r>
      <w:r w:rsidRPr="00F47F59">
        <w:rPr>
          <w:rFonts w:cs="Arial"/>
          <w:i/>
          <w:u w:val="single"/>
        </w:rPr>
        <w:t>onderstreept</w:t>
      </w:r>
      <w:r w:rsidRPr="00F47F59">
        <w:rPr>
          <w:rFonts w:cs="Arial"/>
        </w:rPr>
        <w:t xml:space="preserve"> (aangezien dan de hele bepaling cursief is in verband met het facultatieve karakter). In de ‘nieuwe tekst’ zijn de nieuwe woorden en leestekens </w:t>
      </w:r>
      <w:r w:rsidRPr="00F47F59">
        <w:rPr>
          <w:rFonts w:cs="Arial"/>
          <w:b/>
        </w:rPr>
        <w:t>vet</w:t>
      </w:r>
      <w:r w:rsidRPr="00F47F59">
        <w:rPr>
          <w:rFonts w:cs="Arial"/>
        </w:rPr>
        <w:t xml:space="preserve"> gedrukt (en </w:t>
      </w:r>
      <w:r w:rsidRPr="00F47F59">
        <w:rPr>
          <w:rFonts w:cs="Arial"/>
          <w:b/>
          <w:u w:val="single"/>
        </w:rPr>
        <w:t>onderstreept</w:t>
      </w:r>
      <w:r w:rsidRPr="00F47F59">
        <w:rPr>
          <w:rFonts w:cs="Arial"/>
        </w:rPr>
        <w:t xml:space="preserve"> in de gevallen waarin de bestaande tekst ook vetgedrukt is).</w:t>
      </w:r>
    </w:p>
    <w:tbl>
      <w:tblPr>
        <w:tblStyle w:val="VNGtabelmiddenblauw"/>
        <w:tblpPr w:leftFromText="141" w:rightFromText="141" w:vertAnchor="text" w:horzAnchor="margin" w:tblpY="562"/>
        <w:tblW w:w="9493" w:type="dxa"/>
        <w:tblLook w:val="04A0" w:firstRow="1" w:lastRow="0" w:firstColumn="1" w:lastColumn="0" w:noHBand="0" w:noVBand="1"/>
      </w:tblPr>
      <w:tblGrid>
        <w:gridCol w:w="4746"/>
        <w:gridCol w:w="4747"/>
      </w:tblGrid>
      <w:tr w:rsidR="00D2106B" w14:paraId="7A2F4BE0" w14:textId="77777777" w:rsidTr="00F67C0C">
        <w:trPr>
          <w:cnfStyle w:val="100000000000" w:firstRow="1" w:lastRow="0" w:firstColumn="0" w:lastColumn="0" w:oddVBand="0" w:evenVBand="0" w:oddHBand="0" w:evenHBand="0" w:firstRowFirstColumn="0" w:firstRowLastColumn="0" w:lastRowFirstColumn="0" w:lastRowLastColumn="0"/>
        </w:trPr>
        <w:tc>
          <w:tcPr>
            <w:tcW w:w="4746" w:type="dxa"/>
          </w:tcPr>
          <w:p w14:paraId="4E3D7C0D" w14:textId="22C014BC" w:rsidR="00D2106B" w:rsidRPr="00782535" w:rsidRDefault="00C76015" w:rsidP="00F67C0C">
            <w:pPr>
              <w:rPr>
                <w:bCs/>
              </w:rPr>
            </w:pPr>
            <w:r>
              <w:rPr>
                <w:bCs/>
              </w:rPr>
              <w:t>Bestaand</w:t>
            </w:r>
          </w:p>
        </w:tc>
        <w:tc>
          <w:tcPr>
            <w:tcW w:w="4747" w:type="dxa"/>
          </w:tcPr>
          <w:p w14:paraId="27CCE30E" w14:textId="0902233B" w:rsidR="00D2106B" w:rsidRPr="00782535" w:rsidRDefault="00C76015" w:rsidP="00F67C0C">
            <w:pPr>
              <w:rPr>
                <w:bCs/>
              </w:rPr>
            </w:pPr>
            <w:r>
              <w:rPr>
                <w:bCs/>
              </w:rPr>
              <w:t>Nieuw</w:t>
            </w:r>
          </w:p>
        </w:tc>
      </w:tr>
      <w:tr w:rsidR="00D2106B" w14:paraId="35DCDB8D" w14:textId="77777777" w:rsidTr="00F67C0C">
        <w:tc>
          <w:tcPr>
            <w:tcW w:w="4746" w:type="dxa"/>
          </w:tcPr>
          <w:p w14:paraId="51BA316D" w14:textId="6FC62B9F" w:rsidR="00D2106B" w:rsidRPr="00782535" w:rsidRDefault="00D2106B" w:rsidP="00F67C0C">
            <w:pPr>
              <w:spacing w:after="0" w:line="260" w:lineRule="atLeast"/>
              <w:rPr>
                <w:bCs/>
              </w:rPr>
            </w:pPr>
          </w:p>
        </w:tc>
        <w:tc>
          <w:tcPr>
            <w:tcW w:w="4747" w:type="dxa"/>
          </w:tcPr>
          <w:p w14:paraId="4ECEC9A8" w14:textId="77777777" w:rsidR="00F67C0C" w:rsidRPr="00F67C0C" w:rsidRDefault="00F67C0C" w:rsidP="00F67C0C">
            <w:pPr>
              <w:spacing w:line="260" w:lineRule="atLeast"/>
              <w:rPr>
                <w:b/>
              </w:rPr>
            </w:pPr>
            <w:r w:rsidRPr="00F67C0C">
              <w:rPr>
                <w:b/>
              </w:rPr>
              <w:t xml:space="preserve">Artikel 25.5.6a. Correctie vaststellen </w:t>
            </w:r>
            <w:proofErr w:type="spellStart"/>
            <w:r w:rsidRPr="00F67C0C">
              <w:rPr>
                <w:b/>
              </w:rPr>
              <w:t>nettowoonlasten</w:t>
            </w:r>
            <w:proofErr w:type="spellEnd"/>
          </w:p>
          <w:p w14:paraId="5576490A" w14:textId="6E1B16F5" w:rsidR="00D2106B" w:rsidRPr="00782535" w:rsidRDefault="00F67C0C" w:rsidP="00F67C0C">
            <w:pPr>
              <w:spacing w:after="0" w:line="260" w:lineRule="atLeast"/>
              <w:rPr>
                <w:bCs/>
              </w:rPr>
            </w:pPr>
            <w:r w:rsidRPr="00F67C0C">
              <w:rPr>
                <w:bCs/>
              </w:rPr>
              <w:t xml:space="preserve">Bij het vaststellen van de </w:t>
            </w:r>
            <w:proofErr w:type="spellStart"/>
            <w:r w:rsidRPr="00F67C0C">
              <w:rPr>
                <w:bCs/>
              </w:rPr>
              <w:t>nettowoonlasten</w:t>
            </w:r>
            <w:proofErr w:type="spellEnd"/>
            <w:r w:rsidRPr="00F67C0C">
              <w:rPr>
                <w:bCs/>
              </w:rPr>
              <w:t>, als bedoeld in artikel 15, eerste lid, onderdeel b, van de regeling, vermindert de ontvanger het bedrag, genoemd in artikel 17, tweede lid, van de Wet op de huurtoeslag, met € 37,72.</w:t>
            </w:r>
          </w:p>
        </w:tc>
      </w:tr>
      <w:tr w:rsidR="00D2106B" w14:paraId="7A66E434" w14:textId="77777777" w:rsidTr="00F67C0C">
        <w:tc>
          <w:tcPr>
            <w:tcW w:w="4746" w:type="dxa"/>
          </w:tcPr>
          <w:p w14:paraId="337A2EBF" w14:textId="77777777" w:rsidR="00F67C0C" w:rsidRPr="00F67C0C" w:rsidRDefault="00F67C0C" w:rsidP="00F67C0C">
            <w:pPr>
              <w:spacing w:line="260" w:lineRule="atLeast"/>
              <w:rPr>
                <w:b/>
              </w:rPr>
            </w:pPr>
            <w:r w:rsidRPr="00F67C0C">
              <w:rPr>
                <w:b/>
              </w:rPr>
              <w:t>26.2.10 Betalingscapaciteit en kwijtschelding voor particulieren</w:t>
            </w:r>
          </w:p>
          <w:p w14:paraId="716015AC" w14:textId="77777777" w:rsidR="00F67C0C" w:rsidRPr="00F67C0C" w:rsidRDefault="00F67C0C" w:rsidP="00F67C0C">
            <w:pPr>
              <w:spacing w:line="260" w:lineRule="atLeast"/>
              <w:rPr>
                <w:bCs/>
              </w:rPr>
            </w:pPr>
            <w:r w:rsidRPr="00F67C0C">
              <w:rPr>
                <w:bCs/>
              </w:rPr>
              <w:t>Als is vastgesteld dat geen of onvoldoende vermogensbestanddelen aanwezig zijn om de openstaande belastingaanslag te voldoen, moet worden beoordeeld in hoeverre de aanwezige betalingscapaciteit voldoende is om de belastingaanslag te voldoen.</w:t>
            </w:r>
          </w:p>
          <w:p w14:paraId="0E2C61D8" w14:textId="77777777" w:rsidR="00F67C0C" w:rsidRPr="00F67C0C" w:rsidRDefault="00F67C0C" w:rsidP="00F67C0C">
            <w:pPr>
              <w:spacing w:line="260" w:lineRule="atLeast"/>
              <w:rPr>
                <w:bCs/>
              </w:rPr>
            </w:pPr>
            <w:r w:rsidRPr="00F67C0C">
              <w:rPr>
                <w:bCs/>
              </w:rPr>
              <w:t>De betalingscapaciteit wordt gevormd door het positieve verschil tussen het gemiddeld per maand te verwachten netto besteedbaar inkomen van de belastingschuldige en de gemiddeld per maand te verwachten kosten van bestaan in de periode van twaalf maanden vanaf de datum waarop het verzoek om kwijtschelding is ingediend.</w:t>
            </w:r>
          </w:p>
          <w:p w14:paraId="57B266C5" w14:textId="77777777" w:rsidR="00F67C0C" w:rsidRPr="00F67C0C" w:rsidRDefault="00F67C0C" w:rsidP="00F67C0C">
            <w:pPr>
              <w:spacing w:line="260" w:lineRule="atLeast"/>
              <w:rPr>
                <w:bCs/>
              </w:rPr>
            </w:pPr>
            <w:r w:rsidRPr="00F67C0C">
              <w:rPr>
                <w:bCs/>
              </w:rPr>
              <w:t>Het netto besteedbaar inkomen van de belastingschuldige wordt vermeerderd met het gemiddeld per maand te verwachten netto besteedbaar inkomen van zijn echtgenoot in de periode van twaalf maanden vanaf de datum waarop het verzoek om kwijtschelding is ingediend. De vaststelling van het totale netto besteedbaar inkomen staat los van de aansprakelijkheid tot betaling van de aanslagen waarvan kwijtschelding wordt verzocht.</w:t>
            </w:r>
          </w:p>
          <w:p w14:paraId="74DF7EAB" w14:textId="7122BC1C" w:rsidR="00D2106B" w:rsidRPr="00782535" w:rsidRDefault="00F67C0C" w:rsidP="00F67C0C">
            <w:pPr>
              <w:spacing w:line="260" w:lineRule="atLeast"/>
              <w:rPr>
                <w:bCs/>
              </w:rPr>
            </w:pPr>
            <w:r w:rsidRPr="00F67C0C">
              <w:rPr>
                <w:bCs/>
              </w:rPr>
              <w:t xml:space="preserve">De verantwoordelijkheid van de echtgenoot, voor schulden van de belastingschuldige, wordt beperkt tot de (materiële) belastingschulden die betrekking hebben op de huwelijkse periode dan wel uit de periode waarin de gezamenlijke huishouding is gevoerd. Dat kan tot gevolg hebben dat in voorkomende gevallen de belastingaanslag moet worden gesplitst. Het vermogen en de betalingscapaciteit van de echtgenoot van belastingschuldige, worden dus buiten beschouwing gelaten voor zover een door de belastingschuldige ingediend verzoek om kwijtschelding </w:t>
            </w:r>
            <w:r w:rsidRPr="00F67C0C">
              <w:rPr>
                <w:bCs/>
              </w:rPr>
              <w:lastRenderedPageBreak/>
              <w:t>betrekking heeft op belastingschulden die zijn ontstaan buiten de huwelijkse periode dan wel de gezamenlijke huishouding. Het toe te passen normbedrag is in dit geval het normbedrag voor een alleenstaande of een alleenstaande ouder (zie artikel 16 van de regeling).</w:t>
            </w:r>
          </w:p>
        </w:tc>
        <w:tc>
          <w:tcPr>
            <w:tcW w:w="4747" w:type="dxa"/>
          </w:tcPr>
          <w:p w14:paraId="5C9776E1" w14:textId="77777777" w:rsidR="00F67C0C" w:rsidRPr="00BB3A42" w:rsidRDefault="00F67C0C" w:rsidP="00F67C0C">
            <w:pPr>
              <w:rPr>
                <w:b/>
              </w:rPr>
            </w:pPr>
            <w:r w:rsidRPr="00BB3A42">
              <w:rPr>
                <w:b/>
              </w:rPr>
              <w:lastRenderedPageBreak/>
              <w:t>26.2.10 Betalingscapaciteit en kwijtschelding voor particulieren</w:t>
            </w:r>
          </w:p>
          <w:p w14:paraId="39B8878E" w14:textId="77777777" w:rsidR="00F67C0C" w:rsidRPr="00911C18" w:rsidRDefault="00F67C0C" w:rsidP="00F67C0C">
            <w:r w:rsidRPr="00911C18">
              <w:t>Als is vastgesteld dat geen of onvoldoende vermogensbestanddelen aanwezig zijn om de openstaande belastingaanslag te voldoen, moet worden beoordeeld in hoeverre de aanwezige betalingscapaciteit voldoende is om de belastingaanslag te voldoen.</w:t>
            </w:r>
          </w:p>
          <w:p w14:paraId="7735290D" w14:textId="77777777" w:rsidR="00F67C0C" w:rsidRPr="00911C18" w:rsidRDefault="00F67C0C" w:rsidP="00F67C0C">
            <w:r w:rsidRPr="00911C18">
              <w:t>De betalingscapaciteit wordt gevormd door het positieve verschil tussen het gemiddeld per maand te verwachten netto besteedbaar inkomen van de belastingschuldige en de gemiddeld per maand te verwachten kosten van bestaan in de periode van twaalf maanden vanaf de datum waarop het verzoek om kwijtschelding is ingediend.</w:t>
            </w:r>
          </w:p>
          <w:p w14:paraId="4D74C917" w14:textId="77777777" w:rsidR="00F67C0C" w:rsidRDefault="00F67C0C" w:rsidP="00F67C0C">
            <w:r w:rsidRPr="00911C18">
              <w:t>Het netto besteedbaar inkomen van de belastingschuldige wordt vermeerderd met het gemiddeld per maand te verwachten netto besteedbaar inkomen van zijn echtgenoot in de periode van twaalf maanden vanaf de datum waarop het verzoek om kwijtschelding is ingediend. De vaststelling van het totale netto besteedbaar inkomen staat los van de aansprakelijkheid tot betaling van de aanslagen waarvan kwijtschelding wordt verzocht.</w:t>
            </w:r>
          </w:p>
          <w:p w14:paraId="14534A74" w14:textId="77777777" w:rsidR="00F67C0C" w:rsidRPr="00F67C0C" w:rsidRDefault="00F67C0C" w:rsidP="00F67C0C">
            <w:pPr>
              <w:rPr>
                <w:i/>
                <w:iCs/>
              </w:rPr>
            </w:pPr>
            <w:r w:rsidRPr="00F67C0C">
              <w:rPr>
                <w:i/>
                <w:iCs/>
              </w:rPr>
              <w:t xml:space="preserve">Bij het vaststellen van de </w:t>
            </w:r>
            <w:proofErr w:type="spellStart"/>
            <w:r w:rsidRPr="00F67C0C">
              <w:rPr>
                <w:i/>
                <w:iCs/>
              </w:rPr>
              <w:t>nettowoonlasten</w:t>
            </w:r>
            <w:proofErr w:type="spellEnd"/>
            <w:r w:rsidRPr="00F67C0C">
              <w:rPr>
                <w:i/>
                <w:iCs/>
              </w:rPr>
              <w:t>, als bedoeld in artikel 15, eerste lid, onderdeel b, van de regeling, vermindert de ontvanger het bedrag, genoemd in artikel 17, tweede lid, van de Wet op de huurtoeslag, met € 37,72.</w:t>
            </w:r>
          </w:p>
          <w:p w14:paraId="5A5C0879" w14:textId="77777777" w:rsidR="00F67C0C" w:rsidRPr="00911C18" w:rsidRDefault="00F67C0C" w:rsidP="00F67C0C">
            <w:r w:rsidRPr="00911C18">
              <w:t xml:space="preserve">De verantwoordelijkheid van de echtgenoot, voor schulden van de belastingschuldige, wordt beperkt tot de (materiële) belastingschulden die betrekking hebben op de huwelijkse </w:t>
            </w:r>
            <w:r w:rsidRPr="00911C18">
              <w:lastRenderedPageBreak/>
              <w:t>periode dan wel uit de periode waarin de gezamenlijke huishouding is gevoerd. Dat kan tot gevolg hebben dat in voorkomende gevallen de belastingaanslag moet worden gesplitst. Het vermogen en de betalingscapaciteit van de echtgenoot van belastingschuldige, worden dus buiten beschouwing gelaten voor zover een door de belastingschuldige ingediend verzoek om kwijtschelding betrekking heeft op belastingschulden die zijn ontstaan buiten de huwelijkse periode dan wel de gezamenlijke huishouding. Het toe te passen normbedrag is in dit geval het normbedrag voor een alleenstaande of een alleenstaande ouder (zie artikel 16 van de regeling).</w:t>
            </w:r>
          </w:p>
          <w:p w14:paraId="3D0B6D24" w14:textId="77777777" w:rsidR="00D2106B" w:rsidRPr="00782535" w:rsidRDefault="00D2106B" w:rsidP="00F67C0C">
            <w:pPr>
              <w:spacing w:line="260" w:lineRule="atLeast"/>
              <w:rPr>
                <w:bCs/>
              </w:rPr>
            </w:pPr>
          </w:p>
        </w:tc>
      </w:tr>
    </w:tbl>
    <w:p w14:paraId="03FE6A70" w14:textId="77777777" w:rsidR="00F47F59" w:rsidRPr="00F47F59" w:rsidRDefault="00F47F59" w:rsidP="00F47F59"/>
    <w:p w14:paraId="0F402509" w14:textId="77777777" w:rsidR="00C76015" w:rsidRDefault="00C76015" w:rsidP="0011248A"/>
    <w:p w14:paraId="47716223" w14:textId="5CC1BB6D" w:rsidR="00F71926" w:rsidRDefault="00C76015" w:rsidP="0011248A">
      <w:pPr>
        <w:rPr>
          <w:b/>
          <w:bCs/>
        </w:rPr>
      </w:pPr>
      <w:r w:rsidRPr="00C76015">
        <w:rPr>
          <w:b/>
          <w:bCs/>
        </w:rPr>
        <w:t>Toelichting</w:t>
      </w:r>
    </w:p>
    <w:p w14:paraId="0DF07FCA" w14:textId="77777777" w:rsidR="00D0125E" w:rsidRPr="00C76015" w:rsidRDefault="00D0125E" w:rsidP="0011248A">
      <w:pPr>
        <w:rPr>
          <w:b/>
          <w:bCs/>
        </w:rPr>
      </w:pPr>
    </w:p>
    <w:p w14:paraId="4BC67408" w14:textId="77777777" w:rsidR="00530D8B" w:rsidRDefault="00F67C0C" w:rsidP="00D0125E">
      <w:r>
        <w:t>In de Model Leidraad invordering gemeentelijke belastingen word</w:t>
      </w:r>
      <w:r w:rsidR="00530D8B">
        <w:t xml:space="preserve">en </w:t>
      </w:r>
      <w:r>
        <w:t xml:space="preserve">een nieuw </w:t>
      </w:r>
      <w:r w:rsidRPr="00F67C0C">
        <w:t xml:space="preserve">artikel 25.5.6a en </w:t>
      </w:r>
      <w:r>
        <w:t xml:space="preserve">een nieuwe alinea in </w:t>
      </w:r>
      <w:r w:rsidRPr="00F67C0C">
        <w:t>artikel 26.2.10</w:t>
      </w:r>
      <w:r w:rsidR="00530D8B" w:rsidRPr="00530D8B">
        <w:t xml:space="preserve"> </w:t>
      </w:r>
      <w:r w:rsidR="00530D8B">
        <w:t>ingevoegd</w:t>
      </w:r>
      <w:r w:rsidRPr="00F67C0C">
        <w:t xml:space="preserve">. Hiermee </w:t>
      </w:r>
      <w:r w:rsidR="00530D8B">
        <w:t>wordt</w:t>
      </w:r>
      <w:r w:rsidRPr="00F67C0C">
        <w:t xml:space="preserve"> geregeld dat bij het bepalen van de </w:t>
      </w:r>
      <w:proofErr w:type="spellStart"/>
      <w:r w:rsidRPr="00F67C0C">
        <w:t>nettowoonlasten</w:t>
      </w:r>
      <w:proofErr w:type="spellEnd"/>
      <w:r w:rsidRPr="00F67C0C">
        <w:t xml:space="preserve"> bedoeld in artikel 15, eerste lid, onderdeel b, van de Uitvoeringsregeling Invorderingswet 1990, rekening wordt gehouden met de verhoging van de huurtoeslag </w:t>
      </w:r>
      <w:r w:rsidR="00530D8B">
        <w:t xml:space="preserve">die tot doel heeft </w:t>
      </w:r>
      <w:r w:rsidRPr="00F67C0C">
        <w:t>de koopkracht van de laagste inkomens te verbeteren.</w:t>
      </w:r>
    </w:p>
    <w:p w14:paraId="57E564F1" w14:textId="7F03F272" w:rsidR="00530D8B" w:rsidRDefault="00530D8B" w:rsidP="00D0125E">
      <w:r>
        <w:t xml:space="preserve">Bij </w:t>
      </w:r>
      <w:r w:rsidRPr="00F67C0C">
        <w:t xml:space="preserve">de vaststelling van de betalingscapaciteit </w:t>
      </w:r>
      <w:r w:rsidR="00E32977">
        <w:t>bij</w:t>
      </w:r>
      <w:r w:rsidRPr="00F67C0C">
        <w:t xml:space="preserve"> kwijtschelding en uitstel van betaling, </w:t>
      </w:r>
      <w:r w:rsidR="00E32977">
        <w:t xml:space="preserve">wordt </w:t>
      </w:r>
      <w:r w:rsidRPr="00F67C0C">
        <w:t>de verhoging van de huurtoeslag buiten beschouwing</w:t>
      </w:r>
      <w:r w:rsidR="00E32977">
        <w:t xml:space="preserve"> ge</w:t>
      </w:r>
      <w:r w:rsidRPr="00F67C0C">
        <w:t>laten.</w:t>
      </w:r>
    </w:p>
    <w:p w14:paraId="69CA49A7" w14:textId="7E71CFF8" w:rsidR="00F67C0C" w:rsidRDefault="00530D8B" w:rsidP="00D0125E">
      <w:r>
        <w:t>Met de wijzigingen w</w:t>
      </w:r>
      <w:r w:rsidR="00F67C0C" w:rsidRPr="00F67C0C">
        <w:t>ordt voorkomen dat de</w:t>
      </w:r>
      <w:r>
        <w:t xml:space="preserve"> </w:t>
      </w:r>
      <w:r w:rsidR="00F67C0C" w:rsidRPr="00F67C0C">
        <w:t xml:space="preserve">verhoging van de huurtoeslag </w:t>
      </w:r>
      <w:r>
        <w:t>zorgt voor</w:t>
      </w:r>
      <w:r w:rsidR="00F67C0C" w:rsidRPr="00F67C0C">
        <w:t xml:space="preserve"> een stijging van de betalingscapaciteit van de belastingschuldige waardoor het beoogde effect van inkomensondersteuning niet wordt bereikt.</w:t>
      </w:r>
      <w:r w:rsidR="00F67C0C">
        <w:rPr>
          <w:rStyle w:val="Voetnootmarkering"/>
        </w:rPr>
        <w:footnoteReference w:id="1"/>
      </w:r>
      <w:r w:rsidR="00F67C0C" w:rsidRPr="00F67C0C">
        <w:t xml:space="preserve"> </w:t>
      </w:r>
    </w:p>
    <w:p w14:paraId="1C0E0E8B" w14:textId="77777777" w:rsidR="00530D8B" w:rsidRDefault="00530D8B"/>
    <w:sectPr w:rsidR="00530D8B"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25A" w14:textId="77777777" w:rsidR="002D2D21" w:rsidRDefault="002D2D21">
      <w:r>
        <w:separator/>
      </w:r>
    </w:p>
  </w:endnote>
  <w:endnote w:type="continuationSeparator" w:id="0">
    <w:p w14:paraId="1621C59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87E" w14:textId="77777777" w:rsidR="002D2D21" w:rsidRPr="00607447" w:rsidRDefault="002D2D21"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8599610" wp14:editId="1FDEE58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61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517BC9D" wp14:editId="3AABADB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BC9D"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53E" w14:textId="77777777" w:rsidR="002D2D21" w:rsidRPr="004776AB" w:rsidRDefault="002D2D21"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B7E0E35" wp14:editId="6DF3D2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3DE4605A" wp14:editId="7D512BE4">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60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A990" w14:textId="77777777" w:rsidR="002D2D21" w:rsidRDefault="002D2D21">
      <w:r>
        <w:separator/>
      </w:r>
    </w:p>
  </w:footnote>
  <w:footnote w:type="continuationSeparator" w:id="0">
    <w:p w14:paraId="19E1F17D" w14:textId="77777777" w:rsidR="002D2D21" w:rsidRDefault="002D2D21">
      <w:r>
        <w:continuationSeparator/>
      </w:r>
    </w:p>
  </w:footnote>
  <w:footnote w:id="1">
    <w:p w14:paraId="540758E3" w14:textId="47D218E1" w:rsidR="00F67C0C" w:rsidRDefault="00F67C0C">
      <w:pPr>
        <w:pStyle w:val="Voetnoottekst"/>
      </w:pPr>
      <w:r>
        <w:rPr>
          <w:rStyle w:val="Voetnootmarkering"/>
        </w:rPr>
        <w:footnoteRef/>
      </w:r>
      <w:r>
        <w:t xml:space="preserve"> </w:t>
      </w:r>
      <w:hyperlink r:id="rId1" w:history="1">
        <w:r w:rsidRPr="00625E8E">
          <w:rPr>
            <w:rStyle w:val="Hyperlink"/>
          </w:rPr>
          <w:t>https://vng.nl/nieuws/update-kwijtscheldingsverzoeken-ivm-verhoging-huurtoeslag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7FD" w14:textId="77777777" w:rsidR="002D2D21" w:rsidRDefault="002D2D21"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A2F" w14:textId="77777777" w:rsidR="002D2D21" w:rsidRDefault="002D2D21" w:rsidP="00590D35">
    <w:pPr>
      <w:spacing w:after="1560"/>
    </w:pPr>
    <w:r w:rsidRPr="002E3B9D">
      <w:rPr>
        <w:noProof/>
      </w:rPr>
      <w:drawing>
        <wp:anchor distT="0" distB="0" distL="114300" distR="114300" simplePos="0" relativeHeight="251672575" behindDoc="1" locked="0" layoutInCell="0" allowOverlap="1" wp14:anchorId="67337D9F" wp14:editId="3D67358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0841732"/>
    <w:multiLevelType w:val="multilevel"/>
    <w:tmpl w:val="3E8497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0884908">
    <w:abstractNumId w:val="2"/>
  </w:num>
  <w:num w:numId="2" w16cid:durableId="1531338768">
    <w:abstractNumId w:val="2"/>
    <w:lvlOverride w:ilvl="0">
      <w:startOverride w:val="1"/>
    </w:lvlOverride>
  </w:num>
  <w:num w:numId="3" w16cid:durableId="1166162975">
    <w:abstractNumId w:val="2"/>
    <w:lvlOverride w:ilvl="0">
      <w:startOverride w:val="1"/>
    </w:lvlOverride>
  </w:num>
  <w:num w:numId="4" w16cid:durableId="1316881385">
    <w:abstractNumId w:val="2"/>
    <w:lvlOverride w:ilvl="0">
      <w:startOverride w:val="1"/>
    </w:lvlOverride>
  </w:num>
  <w:num w:numId="5" w16cid:durableId="514075583">
    <w:abstractNumId w:val="2"/>
    <w:lvlOverride w:ilvl="0">
      <w:startOverride w:val="1"/>
    </w:lvlOverride>
  </w:num>
  <w:num w:numId="6" w16cid:durableId="1575318393">
    <w:abstractNumId w:val="18"/>
  </w:num>
  <w:num w:numId="7" w16cid:durableId="318462997">
    <w:abstractNumId w:val="15"/>
  </w:num>
  <w:num w:numId="8" w16cid:durableId="549728879">
    <w:abstractNumId w:val="24"/>
  </w:num>
  <w:num w:numId="9" w16cid:durableId="272834714">
    <w:abstractNumId w:val="26"/>
  </w:num>
  <w:num w:numId="10" w16cid:durableId="333148415">
    <w:abstractNumId w:val="6"/>
  </w:num>
  <w:num w:numId="11" w16cid:durableId="1434134804">
    <w:abstractNumId w:val="19"/>
  </w:num>
  <w:num w:numId="12" w16cid:durableId="1567111711">
    <w:abstractNumId w:val="14"/>
  </w:num>
  <w:num w:numId="13" w16cid:durableId="842358573">
    <w:abstractNumId w:val="25"/>
  </w:num>
  <w:num w:numId="14" w16cid:durableId="961764548">
    <w:abstractNumId w:val="13"/>
  </w:num>
  <w:num w:numId="15" w16cid:durableId="1794979952">
    <w:abstractNumId w:val="16"/>
  </w:num>
  <w:num w:numId="16" w16cid:durableId="1074007696">
    <w:abstractNumId w:val="20"/>
  </w:num>
  <w:num w:numId="17" w16cid:durableId="160897809">
    <w:abstractNumId w:val="12"/>
  </w:num>
  <w:num w:numId="18" w16cid:durableId="146628747">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337928983">
    <w:abstractNumId w:val="1"/>
  </w:num>
  <w:num w:numId="20" w16cid:durableId="1543593709">
    <w:abstractNumId w:val="1"/>
  </w:num>
  <w:num w:numId="21" w16cid:durableId="19472533">
    <w:abstractNumId w:val="0"/>
  </w:num>
  <w:num w:numId="22" w16cid:durableId="29376455">
    <w:abstractNumId w:val="0"/>
  </w:num>
  <w:num w:numId="23" w16cid:durableId="1749496304">
    <w:abstractNumId w:val="1"/>
  </w:num>
  <w:num w:numId="24" w16cid:durableId="1207991176">
    <w:abstractNumId w:val="19"/>
  </w:num>
  <w:num w:numId="25" w16cid:durableId="1997612857">
    <w:abstractNumId w:val="19"/>
  </w:num>
  <w:num w:numId="26" w16cid:durableId="510873900">
    <w:abstractNumId w:val="4"/>
  </w:num>
  <w:num w:numId="27" w16cid:durableId="1537963007">
    <w:abstractNumId w:val="4"/>
  </w:num>
  <w:num w:numId="28" w16cid:durableId="1842813336">
    <w:abstractNumId w:val="27"/>
  </w:num>
  <w:num w:numId="29" w16cid:durableId="889262969">
    <w:abstractNumId w:val="13"/>
  </w:num>
  <w:num w:numId="30" w16cid:durableId="461077492">
    <w:abstractNumId w:val="5"/>
  </w:num>
  <w:num w:numId="31" w16cid:durableId="2007200176">
    <w:abstractNumId w:val="21"/>
  </w:num>
  <w:num w:numId="32" w16cid:durableId="2037729552">
    <w:abstractNumId w:val="10"/>
  </w:num>
  <w:num w:numId="33" w16cid:durableId="1543789161">
    <w:abstractNumId w:val="22"/>
  </w:num>
  <w:num w:numId="34" w16cid:durableId="1613706905">
    <w:abstractNumId w:val="7"/>
  </w:num>
  <w:num w:numId="35" w16cid:durableId="1786999320">
    <w:abstractNumId w:val="11"/>
  </w:num>
  <w:num w:numId="36" w16cid:durableId="716391786">
    <w:abstractNumId w:val="23"/>
  </w:num>
  <w:num w:numId="37" w16cid:durableId="1658610886">
    <w:abstractNumId w:val="8"/>
  </w:num>
  <w:num w:numId="38" w16cid:durableId="1223718301">
    <w:abstractNumId w:val="3"/>
  </w:num>
  <w:num w:numId="39" w16cid:durableId="20934982">
    <w:abstractNumId w:val="11"/>
  </w:num>
  <w:num w:numId="40" w16cid:durableId="395472520">
    <w:abstractNumId w:val="23"/>
  </w:num>
  <w:num w:numId="41" w16cid:durableId="383873868">
    <w:abstractNumId w:val="8"/>
  </w:num>
  <w:num w:numId="42" w16cid:durableId="1162696365">
    <w:abstractNumId w:val="3"/>
  </w:num>
  <w:num w:numId="43" w16cid:durableId="524486002">
    <w:abstractNumId w:val="11"/>
  </w:num>
  <w:num w:numId="44" w16cid:durableId="1969319532">
    <w:abstractNumId w:val="23"/>
  </w:num>
  <w:num w:numId="45" w16cid:durableId="909534025">
    <w:abstractNumId w:val="8"/>
  </w:num>
  <w:num w:numId="46" w16cid:durableId="2026128011">
    <w:abstractNumId w:val="3"/>
  </w:num>
  <w:num w:numId="47" w16cid:durableId="1071928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012AFA"/>
    <w:rsid w:val="00017C57"/>
    <w:rsid w:val="00020B64"/>
    <w:rsid w:val="000417A1"/>
    <w:rsid w:val="000418E5"/>
    <w:rsid w:val="00042049"/>
    <w:rsid w:val="00044DC2"/>
    <w:rsid w:val="000506F8"/>
    <w:rsid w:val="00050743"/>
    <w:rsid w:val="00055A4B"/>
    <w:rsid w:val="00070796"/>
    <w:rsid w:val="00071277"/>
    <w:rsid w:val="000742B5"/>
    <w:rsid w:val="00084CB9"/>
    <w:rsid w:val="00086595"/>
    <w:rsid w:val="000962BB"/>
    <w:rsid w:val="000A666C"/>
    <w:rsid w:val="000B0118"/>
    <w:rsid w:val="000B61B9"/>
    <w:rsid w:val="000C1735"/>
    <w:rsid w:val="000C4290"/>
    <w:rsid w:val="000C512C"/>
    <w:rsid w:val="000D03A5"/>
    <w:rsid w:val="000D226C"/>
    <w:rsid w:val="000D28DD"/>
    <w:rsid w:val="000D4574"/>
    <w:rsid w:val="000E1DBB"/>
    <w:rsid w:val="000F33B3"/>
    <w:rsid w:val="000F6F4F"/>
    <w:rsid w:val="00100CBD"/>
    <w:rsid w:val="00100D7A"/>
    <w:rsid w:val="00107488"/>
    <w:rsid w:val="00111E05"/>
    <w:rsid w:val="0011248A"/>
    <w:rsid w:val="00115283"/>
    <w:rsid w:val="001210B4"/>
    <w:rsid w:val="00124EA9"/>
    <w:rsid w:val="00125358"/>
    <w:rsid w:val="001410A5"/>
    <w:rsid w:val="00143A9C"/>
    <w:rsid w:val="0014684E"/>
    <w:rsid w:val="00146B36"/>
    <w:rsid w:val="00165095"/>
    <w:rsid w:val="00177046"/>
    <w:rsid w:val="00185A52"/>
    <w:rsid w:val="001A439E"/>
    <w:rsid w:val="001A55EA"/>
    <w:rsid w:val="001A63A1"/>
    <w:rsid w:val="001B1512"/>
    <w:rsid w:val="001C3F17"/>
    <w:rsid w:val="001C50FC"/>
    <w:rsid w:val="001D49B8"/>
    <w:rsid w:val="001E1229"/>
    <w:rsid w:val="001E30DD"/>
    <w:rsid w:val="001E3ADB"/>
    <w:rsid w:val="001F3BFB"/>
    <w:rsid w:val="00201EAF"/>
    <w:rsid w:val="0020379C"/>
    <w:rsid w:val="00203C3D"/>
    <w:rsid w:val="00204B4B"/>
    <w:rsid w:val="002058C6"/>
    <w:rsid w:val="0021160C"/>
    <w:rsid w:val="00216D16"/>
    <w:rsid w:val="00217C55"/>
    <w:rsid w:val="002201A8"/>
    <w:rsid w:val="00230046"/>
    <w:rsid w:val="002348FC"/>
    <w:rsid w:val="0023513C"/>
    <w:rsid w:val="00237D84"/>
    <w:rsid w:val="0024071A"/>
    <w:rsid w:val="00241172"/>
    <w:rsid w:val="002430BF"/>
    <w:rsid w:val="00253EA6"/>
    <w:rsid w:val="0025593B"/>
    <w:rsid w:val="00256AE9"/>
    <w:rsid w:val="002604D3"/>
    <w:rsid w:val="002626E0"/>
    <w:rsid w:val="00267B36"/>
    <w:rsid w:val="00274A16"/>
    <w:rsid w:val="002852A6"/>
    <w:rsid w:val="002A5771"/>
    <w:rsid w:val="002A6CA8"/>
    <w:rsid w:val="002C36B2"/>
    <w:rsid w:val="002C62F2"/>
    <w:rsid w:val="002D1047"/>
    <w:rsid w:val="002D2D21"/>
    <w:rsid w:val="002E3817"/>
    <w:rsid w:val="002E3B9D"/>
    <w:rsid w:val="002E4754"/>
    <w:rsid w:val="002E63C0"/>
    <w:rsid w:val="002F03F0"/>
    <w:rsid w:val="002F31FE"/>
    <w:rsid w:val="002F37AB"/>
    <w:rsid w:val="002F705E"/>
    <w:rsid w:val="0030283D"/>
    <w:rsid w:val="00326248"/>
    <w:rsid w:val="0032693D"/>
    <w:rsid w:val="00336067"/>
    <w:rsid w:val="00341C4D"/>
    <w:rsid w:val="00344F71"/>
    <w:rsid w:val="00356060"/>
    <w:rsid w:val="003620C7"/>
    <w:rsid w:val="0036240A"/>
    <w:rsid w:val="00363BCC"/>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982"/>
    <w:rsid w:val="003F2F2F"/>
    <w:rsid w:val="003F3BB9"/>
    <w:rsid w:val="003F6353"/>
    <w:rsid w:val="003F6C28"/>
    <w:rsid w:val="00400CFC"/>
    <w:rsid w:val="00433ED1"/>
    <w:rsid w:val="004408E4"/>
    <w:rsid w:val="004414AB"/>
    <w:rsid w:val="004505A6"/>
    <w:rsid w:val="004614A0"/>
    <w:rsid w:val="00466BDA"/>
    <w:rsid w:val="0047021E"/>
    <w:rsid w:val="004776AB"/>
    <w:rsid w:val="0048375D"/>
    <w:rsid w:val="00486ED2"/>
    <w:rsid w:val="00495B36"/>
    <w:rsid w:val="00497ABB"/>
    <w:rsid w:val="004A18A2"/>
    <w:rsid w:val="004A23EA"/>
    <w:rsid w:val="004A544C"/>
    <w:rsid w:val="004C36DA"/>
    <w:rsid w:val="004C5C32"/>
    <w:rsid w:val="004D0BB2"/>
    <w:rsid w:val="004D1698"/>
    <w:rsid w:val="004D4D2F"/>
    <w:rsid w:val="004D719D"/>
    <w:rsid w:val="004D7CC9"/>
    <w:rsid w:val="004F0C98"/>
    <w:rsid w:val="0052111F"/>
    <w:rsid w:val="00530D8B"/>
    <w:rsid w:val="005403F7"/>
    <w:rsid w:val="005501D5"/>
    <w:rsid w:val="00551149"/>
    <w:rsid w:val="005565F0"/>
    <w:rsid w:val="00567ED4"/>
    <w:rsid w:val="00573D63"/>
    <w:rsid w:val="00575E30"/>
    <w:rsid w:val="00583601"/>
    <w:rsid w:val="00590D35"/>
    <w:rsid w:val="005A1F0C"/>
    <w:rsid w:val="005A5B07"/>
    <w:rsid w:val="005A5E34"/>
    <w:rsid w:val="005B2D93"/>
    <w:rsid w:val="005B2F3D"/>
    <w:rsid w:val="005B4AB2"/>
    <w:rsid w:val="005B575D"/>
    <w:rsid w:val="005C16B5"/>
    <w:rsid w:val="005C2A6E"/>
    <w:rsid w:val="005D4466"/>
    <w:rsid w:val="005D6CEC"/>
    <w:rsid w:val="005D701C"/>
    <w:rsid w:val="005E6568"/>
    <w:rsid w:val="005F3676"/>
    <w:rsid w:val="00605775"/>
    <w:rsid w:val="00607447"/>
    <w:rsid w:val="00607FEA"/>
    <w:rsid w:val="006141A2"/>
    <w:rsid w:val="00617006"/>
    <w:rsid w:val="00624E7D"/>
    <w:rsid w:val="00630F1E"/>
    <w:rsid w:val="00633E87"/>
    <w:rsid w:val="00635467"/>
    <w:rsid w:val="00635F37"/>
    <w:rsid w:val="006413D9"/>
    <w:rsid w:val="00654FEE"/>
    <w:rsid w:val="00660585"/>
    <w:rsid w:val="006714B0"/>
    <w:rsid w:val="00686433"/>
    <w:rsid w:val="00686F19"/>
    <w:rsid w:val="00692641"/>
    <w:rsid w:val="00696512"/>
    <w:rsid w:val="006A201C"/>
    <w:rsid w:val="006A568B"/>
    <w:rsid w:val="006B1AB8"/>
    <w:rsid w:val="006C1F71"/>
    <w:rsid w:val="006D3956"/>
    <w:rsid w:val="006D57EE"/>
    <w:rsid w:val="006E61D5"/>
    <w:rsid w:val="006F1995"/>
    <w:rsid w:val="006F314E"/>
    <w:rsid w:val="006F6495"/>
    <w:rsid w:val="00711AFC"/>
    <w:rsid w:val="00712545"/>
    <w:rsid w:val="00722306"/>
    <w:rsid w:val="00723D53"/>
    <w:rsid w:val="007306EF"/>
    <w:rsid w:val="007521B0"/>
    <w:rsid w:val="00763982"/>
    <w:rsid w:val="00770F2B"/>
    <w:rsid w:val="00772B63"/>
    <w:rsid w:val="00776557"/>
    <w:rsid w:val="00782535"/>
    <w:rsid w:val="00782E8B"/>
    <w:rsid w:val="00790B6A"/>
    <w:rsid w:val="007A01F4"/>
    <w:rsid w:val="007A6F75"/>
    <w:rsid w:val="007B0DFF"/>
    <w:rsid w:val="007B1C27"/>
    <w:rsid w:val="007B460C"/>
    <w:rsid w:val="007C626D"/>
    <w:rsid w:val="007D3219"/>
    <w:rsid w:val="007D6D1D"/>
    <w:rsid w:val="007D78B2"/>
    <w:rsid w:val="007E0158"/>
    <w:rsid w:val="007E33FB"/>
    <w:rsid w:val="007E5D23"/>
    <w:rsid w:val="007E72C2"/>
    <w:rsid w:val="007F1C81"/>
    <w:rsid w:val="007F1E61"/>
    <w:rsid w:val="00805ABD"/>
    <w:rsid w:val="00806364"/>
    <w:rsid w:val="00814352"/>
    <w:rsid w:val="00815D83"/>
    <w:rsid w:val="00817A7C"/>
    <w:rsid w:val="008216CB"/>
    <w:rsid w:val="00824BE6"/>
    <w:rsid w:val="00827465"/>
    <w:rsid w:val="00827E6B"/>
    <w:rsid w:val="00832390"/>
    <w:rsid w:val="008329D6"/>
    <w:rsid w:val="00834C88"/>
    <w:rsid w:val="00837A0C"/>
    <w:rsid w:val="00840509"/>
    <w:rsid w:val="00844DE0"/>
    <w:rsid w:val="0085125D"/>
    <w:rsid w:val="008526B5"/>
    <w:rsid w:val="008541CC"/>
    <w:rsid w:val="0085520F"/>
    <w:rsid w:val="00857FCB"/>
    <w:rsid w:val="008666D6"/>
    <w:rsid w:val="00871AA0"/>
    <w:rsid w:val="00872931"/>
    <w:rsid w:val="008756BB"/>
    <w:rsid w:val="00880897"/>
    <w:rsid w:val="00890DA6"/>
    <w:rsid w:val="00896E2F"/>
    <w:rsid w:val="008B526C"/>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20638"/>
    <w:rsid w:val="00923268"/>
    <w:rsid w:val="00925DB4"/>
    <w:rsid w:val="009319F4"/>
    <w:rsid w:val="00940043"/>
    <w:rsid w:val="00960C5B"/>
    <w:rsid w:val="0096585C"/>
    <w:rsid w:val="00971A1A"/>
    <w:rsid w:val="009731BB"/>
    <w:rsid w:val="00977C07"/>
    <w:rsid w:val="00984FD7"/>
    <w:rsid w:val="00985BED"/>
    <w:rsid w:val="009925E2"/>
    <w:rsid w:val="009A1772"/>
    <w:rsid w:val="009A4BE1"/>
    <w:rsid w:val="009A664B"/>
    <w:rsid w:val="009A7030"/>
    <w:rsid w:val="009B2AF4"/>
    <w:rsid w:val="009C00E0"/>
    <w:rsid w:val="009C29D4"/>
    <w:rsid w:val="009C2C04"/>
    <w:rsid w:val="009C2E52"/>
    <w:rsid w:val="009D1E62"/>
    <w:rsid w:val="009D2226"/>
    <w:rsid w:val="009F0A61"/>
    <w:rsid w:val="00A01B33"/>
    <w:rsid w:val="00A07FC5"/>
    <w:rsid w:val="00A10A0A"/>
    <w:rsid w:val="00A11B66"/>
    <w:rsid w:val="00A15DB2"/>
    <w:rsid w:val="00A16489"/>
    <w:rsid w:val="00A311AF"/>
    <w:rsid w:val="00A33847"/>
    <w:rsid w:val="00A3584D"/>
    <w:rsid w:val="00A50654"/>
    <w:rsid w:val="00A515BB"/>
    <w:rsid w:val="00A6248C"/>
    <w:rsid w:val="00A7018D"/>
    <w:rsid w:val="00A70928"/>
    <w:rsid w:val="00A8107D"/>
    <w:rsid w:val="00A8532A"/>
    <w:rsid w:val="00A85DD7"/>
    <w:rsid w:val="00A91DA5"/>
    <w:rsid w:val="00A958BD"/>
    <w:rsid w:val="00AA7354"/>
    <w:rsid w:val="00AB1016"/>
    <w:rsid w:val="00AC0E57"/>
    <w:rsid w:val="00AC5050"/>
    <w:rsid w:val="00AC5BBF"/>
    <w:rsid w:val="00AC6737"/>
    <w:rsid w:val="00AC69C4"/>
    <w:rsid w:val="00AD0B28"/>
    <w:rsid w:val="00AE0781"/>
    <w:rsid w:val="00AE39C1"/>
    <w:rsid w:val="00AE6307"/>
    <w:rsid w:val="00AF4876"/>
    <w:rsid w:val="00B00B7C"/>
    <w:rsid w:val="00B21FAC"/>
    <w:rsid w:val="00B2486E"/>
    <w:rsid w:val="00B33172"/>
    <w:rsid w:val="00B37A68"/>
    <w:rsid w:val="00B41E19"/>
    <w:rsid w:val="00B43003"/>
    <w:rsid w:val="00B465E3"/>
    <w:rsid w:val="00B473FA"/>
    <w:rsid w:val="00B5407E"/>
    <w:rsid w:val="00B576CA"/>
    <w:rsid w:val="00B718F7"/>
    <w:rsid w:val="00B823B1"/>
    <w:rsid w:val="00B85260"/>
    <w:rsid w:val="00B86557"/>
    <w:rsid w:val="00B90E6A"/>
    <w:rsid w:val="00B93830"/>
    <w:rsid w:val="00B95931"/>
    <w:rsid w:val="00BA67D3"/>
    <w:rsid w:val="00BB20FF"/>
    <w:rsid w:val="00BC1CB7"/>
    <w:rsid w:val="00BE2D57"/>
    <w:rsid w:val="00BE4649"/>
    <w:rsid w:val="00BE4715"/>
    <w:rsid w:val="00BE4DCE"/>
    <w:rsid w:val="00BF52B3"/>
    <w:rsid w:val="00C22599"/>
    <w:rsid w:val="00C36671"/>
    <w:rsid w:val="00C36B2C"/>
    <w:rsid w:val="00C40464"/>
    <w:rsid w:val="00C45E4B"/>
    <w:rsid w:val="00C52713"/>
    <w:rsid w:val="00C57444"/>
    <w:rsid w:val="00C6694F"/>
    <w:rsid w:val="00C76015"/>
    <w:rsid w:val="00C85A27"/>
    <w:rsid w:val="00C92B60"/>
    <w:rsid w:val="00CA1B56"/>
    <w:rsid w:val="00CA56D4"/>
    <w:rsid w:val="00CB0148"/>
    <w:rsid w:val="00CB6E70"/>
    <w:rsid w:val="00CC101E"/>
    <w:rsid w:val="00CD11BE"/>
    <w:rsid w:val="00CD1354"/>
    <w:rsid w:val="00CE1EE7"/>
    <w:rsid w:val="00CE46AF"/>
    <w:rsid w:val="00D0125E"/>
    <w:rsid w:val="00D01C2E"/>
    <w:rsid w:val="00D06B6E"/>
    <w:rsid w:val="00D11880"/>
    <w:rsid w:val="00D2106B"/>
    <w:rsid w:val="00D3317B"/>
    <w:rsid w:val="00D33AD8"/>
    <w:rsid w:val="00D364BD"/>
    <w:rsid w:val="00D45398"/>
    <w:rsid w:val="00D60489"/>
    <w:rsid w:val="00D66E71"/>
    <w:rsid w:val="00D85FC5"/>
    <w:rsid w:val="00D872D2"/>
    <w:rsid w:val="00D87DAC"/>
    <w:rsid w:val="00DA0F7C"/>
    <w:rsid w:val="00DA3B54"/>
    <w:rsid w:val="00DA6F0C"/>
    <w:rsid w:val="00DB2BE7"/>
    <w:rsid w:val="00DB6A81"/>
    <w:rsid w:val="00DE0766"/>
    <w:rsid w:val="00DF08F9"/>
    <w:rsid w:val="00E12AF3"/>
    <w:rsid w:val="00E13E67"/>
    <w:rsid w:val="00E225C1"/>
    <w:rsid w:val="00E238E8"/>
    <w:rsid w:val="00E24E69"/>
    <w:rsid w:val="00E32977"/>
    <w:rsid w:val="00E412E4"/>
    <w:rsid w:val="00E56A12"/>
    <w:rsid w:val="00E57FE9"/>
    <w:rsid w:val="00E640B4"/>
    <w:rsid w:val="00E70940"/>
    <w:rsid w:val="00E87A6D"/>
    <w:rsid w:val="00EB0D74"/>
    <w:rsid w:val="00EB1243"/>
    <w:rsid w:val="00EB3371"/>
    <w:rsid w:val="00EB40BA"/>
    <w:rsid w:val="00EB61DA"/>
    <w:rsid w:val="00EC5CDB"/>
    <w:rsid w:val="00ED57C7"/>
    <w:rsid w:val="00ED6BD8"/>
    <w:rsid w:val="00ED77A3"/>
    <w:rsid w:val="00EE51ED"/>
    <w:rsid w:val="00EE56C5"/>
    <w:rsid w:val="00EE6875"/>
    <w:rsid w:val="00EE7AD9"/>
    <w:rsid w:val="00F07ACE"/>
    <w:rsid w:val="00F12B2F"/>
    <w:rsid w:val="00F20E52"/>
    <w:rsid w:val="00F33390"/>
    <w:rsid w:val="00F41A21"/>
    <w:rsid w:val="00F42D22"/>
    <w:rsid w:val="00F431A3"/>
    <w:rsid w:val="00F46133"/>
    <w:rsid w:val="00F4696A"/>
    <w:rsid w:val="00F47F59"/>
    <w:rsid w:val="00F554BE"/>
    <w:rsid w:val="00F62A08"/>
    <w:rsid w:val="00F633D6"/>
    <w:rsid w:val="00F67C0C"/>
    <w:rsid w:val="00F7114C"/>
    <w:rsid w:val="00F71926"/>
    <w:rsid w:val="00F71B14"/>
    <w:rsid w:val="00F8489E"/>
    <w:rsid w:val="00FA2053"/>
    <w:rsid w:val="00FA2DA8"/>
    <w:rsid w:val="00FA3B97"/>
    <w:rsid w:val="00FB0CB0"/>
    <w:rsid w:val="00FB64F7"/>
    <w:rsid w:val="00FC63F0"/>
    <w:rsid w:val="00FD2DAF"/>
    <w:rsid w:val="00FD7A82"/>
    <w:rsid w:val="00FE5436"/>
    <w:rsid w:val="00FF5B2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DEE20F"/>
  <w15:docId w15:val="{8C29A11C-DCAE-4DBE-99E2-136FFD0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VNGtabelmiddenblauw1">
    <w:name w:val="VNG tabel midden blauw1"/>
    <w:basedOn w:val="VNGtabelgroen"/>
    <w:uiPriority w:val="99"/>
    <w:rsid w:val="00F47F59"/>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uiPriority w:val="99"/>
    <w:semiHidden/>
    <w:unhideWhenUsed/>
    <w:rsid w:val="009C29D4"/>
    <w:rPr>
      <w:sz w:val="16"/>
      <w:szCs w:val="16"/>
    </w:rPr>
  </w:style>
  <w:style w:type="paragraph" w:styleId="Tekstopmerking">
    <w:name w:val="annotation text"/>
    <w:basedOn w:val="Standaard"/>
    <w:link w:val="TekstopmerkingChar"/>
    <w:uiPriority w:val="99"/>
    <w:semiHidden/>
    <w:unhideWhenUsed/>
    <w:rsid w:val="009C29D4"/>
    <w:pPr>
      <w:spacing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9C29D4"/>
    <w:rPr>
      <w:rFonts w:ascii="Calibri" w:hAnsi="Calibri"/>
    </w:rPr>
  </w:style>
  <w:style w:type="character" w:customStyle="1" w:styleId="ol">
    <w:name w:val="ol"/>
    <w:basedOn w:val="Standaardalinea-lettertype"/>
    <w:rsid w:val="00D2106B"/>
  </w:style>
  <w:style w:type="character" w:styleId="Onopgelostemelding">
    <w:name w:val="Unresolved Mention"/>
    <w:basedOn w:val="Standaardalinea-lettertype"/>
    <w:uiPriority w:val="99"/>
    <w:semiHidden/>
    <w:unhideWhenUsed/>
    <w:rsid w:val="00F6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3118">
      <w:bodyDiv w:val="1"/>
      <w:marLeft w:val="0"/>
      <w:marRight w:val="0"/>
      <w:marTop w:val="0"/>
      <w:marBottom w:val="0"/>
      <w:divBdr>
        <w:top w:val="none" w:sz="0" w:space="0" w:color="auto"/>
        <w:left w:val="none" w:sz="0" w:space="0" w:color="auto"/>
        <w:bottom w:val="none" w:sz="0" w:space="0" w:color="auto"/>
        <w:right w:val="none" w:sz="0" w:space="0" w:color="auto"/>
      </w:divBdr>
    </w:div>
    <w:div w:id="768159972">
      <w:bodyDiv w:val="1"/>
      <w:marLeft w:val="0"/>
      <w:marRight w:val="0"/>
      <w:marTop w:val="0"/>
      <w:marBottom w:val="0"/>
      <w:divBdr>
        <w:top w:val="none" w:sz="0" w:space="0" w:color="auto"/>
        <w:left w:val="none" w:sz="0" w:space="0" w:color="auto"/>
        <w:bottom w:val="none" w:sz="0" w:space="0" w:color="auto"/>
        <w:right w:val="none" w:sz="0" w:space="0" w:color="auto"/>
      </w:divBdr>
    </w:div>
    <w:div w:id="1927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ng.nl/nieuws/update-kwijtscheldingsverzoeken-ivm-verhoging-huurtoesl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A7BB6-B3CC-41E4-B019-1D31AF1E8865}">
  <ds:schemaRefs>
    <ds:schemaRef ds:uri="http://schemas.microsoft.com/office/2006/documentManagement/types"/>
    <ds:schemaRef ds:uri="http://schemas.microsoft.com/office/2006/metadata/properties"/>
    <ds:schemaRef ds:uri="87dfae08-d86b-47c6-976a-3de4263cac44"/>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CB6A54-585A-4B29-8DEB-E81E642C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4FFDC-940D-4207-89E5-E0C7CFFE8570}">
  <ds:schemaRefs>
    <ds:schemaRef ds:uri="http://schemas.openxmlformats.org/officeDocument/2006/bibliography"/>
  </ds:schemaRefs>
</ds:datastoreItem>
</file>

<file path=customXml/itemProps4.xml><?xml version="1.0" encoding="utf-8"?>
<ds:datastoreItem xmlns:ds="http://schemas.openxmlformats.org/officeDocument/2006/customXml" ds:itemID="{8E10A403-F4A8-4B2E-B0FD-C7E6D4775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VNG_leegsjabloon</Template>
  <TotalTime>0</TotalTime>
  <Pages>2</Pages>
  <Words>784</Words>
  <Characters>4813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5586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Rosalie van Heijst</dc:creator>
  <cp:lastModifiedBy>Marlies van Randwijk</cp:lastModifiedBy>
  <cp:revision>2</cp:revision>
  <cp:lastPrinted>2016-12-22T18:38:00Z</cp:lastPrinted>
  <dcterms:created xsi:type="dcterms:W3CDTF">2024-05-01T12:57:00Z</dcterms:created>
  <dcterms:modified xsi:type="dcterms:W3CDTF">2024-05-01T12:57:00Z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TaxKeyword">
    <vt:lpwstr/>
  </property>
  <property fmtid="{D5CDD505-2E9C-101B-9397-08002B2CF9AE}" pid="4" name="_dlc_DocIdItemGuid">
    <vt:lpwstr>bd70769a-e0f2-42ab-83a0-a675d089cdd6</vt:lpwstr>
  </property>
</Properties>
</file>