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142B" w14:textId="77777777" w:rsidR="00A65499" w:rsidRDefault="00715195">
      <w:pPr>
        <w:pStyle w:val="OPTitel"/>
      </w:pPr>
      <w:r>
        <w:t>Wijzigingsbesluit Leidraad invordering gemeentelijke belastingen</w:t>
      </w:r>
    </w:p>
    <w:p w14:paraId="0CBA9B74" w14:textId="77777777" w:rsidR="00A65499" w:rsidRDefault="00715195">
      <w:pPr>
        <w:pStyle w:val="OPAanhef"/>
      </w:pPr>
      <w:r>
        <w:t xml:space="preserve"> </w:t>
      </w:r>
      <w:r>
        <w:rPr>
          <w:b/>
        </w:rPr>
        <w:t>Besluit van het college van burgemeester en wethouders van de gemeente [gemeentenaam] tot wijziging van de Leidraad invordering gemeentelijke belastingen</w:t>
      </w:r>
    </w:p>
    <w:p w14:paraId="6DEA5EEB" w14:textId="77777777" w:rsidR="00A65499" w:rsidRDefault="00715195">
      <w:pPr>
        <w:pStyle w:val="OPAanhef"/>
      </w:pPr>
      <w:r>
        <w:t xml:space="preserve"> </w:t>
      </w:r>
    </w:p>
    <w:p w14:paraId="53485CE6" w14:textId="77777777" w:rsidR="00A65499" w:rsidRDefault="00715195">
      <w:pPr>
        <w:pStyle w:val="OPAanhef"/>
      </w:pPr>
      <w:r>
        <w:t>Het college van burgemeester en wethouders van de gemeente [</w:t>
      </w:r>
      <w:r>
        <w:rPr>
          <w:b/>
        </w:rPr>
        <w:t>gemeentenaam</w:t>
      </w:r>
      <w:r>
        <w:t>];</w:t>
      </w:r>
    </w:p>
    <w:p w14:paraId="1A20C364" w14:textId="77777777" w:rsidR="00A65499" w:rsidRDefault="00715195">
      <w:pPr>
        <w:pStyle w:val="OPAanhef"/>
      </w:pPr>
      <w:r>
        <w:t xml:space="preserve"> </w:t>
      </w:r>
    </w:p>
    <w:p w14:paraId="75F49304" w14:textId="77777777" w:rsidR="00A65499" w:rsidRDefault="00715195">
      <w:pPr>
        <w:pStyle w:val="OPAanhef"/>
      </w:pPr>
      <w:r>
        <w:t>gelezen het voorstel van de gemeenteambtenaar belast met de invordering van gemeentelijke belastingen van [</w:t>
      </w:r>
      <w:r>
        <w:rPr>
          <w:b/>
        </w:rPr>
        <w:t>datum</w:t>
      </w:r>
      <w:r>
        <w:t>], [</w:t>
      </w:r>
      <w:r>
        <w:rPr>
          <w:b/>
        </w:rPr>
        <w:t>nummer</w:t>
      </w:r>
      <w:r>
        <w:t>];</w:t>
      </w:r>
    </w:p>
    <w:p w14:paraId="42B8E96E" w14:textId="77777777" w:rsidR="00A65499" w:rsidRDefault="00715195">
      <w:pPr>
        <w:pStyle w:val="OPAanhef"/>
      </w:pPr>
      <w:r>
        <w:t xml:space="preserve"> </w:t>
      </w:r>
    </w:p>
    <w:p w14:paraId="4ADFE6DE" w14:textId="77777777" w:rsidR="00A65499" w:rsidRDefault="00715195">
      <w:pPr>
        <w:pStyle w:val="OPAanhef"/>
      </w:pPr>
      <w:r>
        <w:t>besluit:</w:t>
      </w:r>
    </w:p>
    <w:p w14:paraId="0AA8BE8C" w14:textId="77777777" w:rsidR="00A65499" w:rsidRDefault="00715195">
      <w:pPr>
        <w:pStyle w:val="OPAanhef"/>
      </w:pPr>
      <w:r>
        <w:t xml:space="preserve"> </w:t>
      </w:r>
    </w:p>
    <w:p w14:paraId="06A2C9EB" w14:textId="77777777" w:rsidR="00A65499" w:rsidRDefault="00715195">
      <w:pPr>
        <w:pStyle w:val="OPAanhef"/>
      </w:pPr>
      <w:r>
        <w:t xml:space="preserve"> </w:t>
      </w:r>
      <w:r>
        <w:rPr>
          <w:b/>
        </w:rPr>
        <w:t xml:space="preserve">Artikel I </w:t>
      </w:r>
    </w:p>
    <w:p w14:paraId="2E28F3AB" w14:textId="77777777" w:rsidR="00A65499" w:rsidRDefault="00715195">
      <w:pPr>
        <w:pStyle w:val="OPAanhef"/>
      </w:pPr>
      <w:r>
        <w:t>De Leidraad invordering gemeentelijke belastingen, vastgesteld bij besluit van [</w:t>
      </w:r>
      <w:r>
        <w:rPr>
          <w:b/>
        </w:rPr>
        <w:t>datum</w:t>
      </w:r>
      <w:r>
        <w:t>], [</w:t>
      </w:r>
      <w:r>
        <w:rPr>
          <w:b/>
        </w:rPr>
        <w:t>nummer</w:t>
      </w:r>
      <w:r>
        <w:t>], laatstelijk gewijzigd bij besluit van [</w:t>
      </w:r>
      <w:r>
        <w:rPr>
          <w:b/>
        </w:rPr>
        <w:t>datum</w:t>
      </w:r>
      <w:r>
        <w:t>], [</w:t>
      </w:r>
      <w:r>
        <w:rPr>
          <w:b/>
        </w:rPr>
        <w:t>nummer</w:t>
      </w:r>
      <w:r>
        <w:t>], wordt als volgt gewijzigd:</w:t>
      </w:r>
    </w:p>
    <w:p w14:paraId="7418C2E8" w14:textId="77777777" w:rsidR="00A65499" w:rsidRDefault="00715195">
      <w:pPr>
        <w:pStyle w:val="OPAanhef"/>
      </w:pPr>
      <w:r>
        <w:t xml:space="preserve"> </w:t>
      </w:r>
    </w:p>
    <w:p w14:paraId="1D186521" w14:textId="77777777" w:rsidR="00572005" w:rsidRDefault="00572005" w:rsidP="00572005">
      <w:pPr>
        <w:pStyle w:val="OPAanhef"/>
      </w:pPr>
      <w:r>
        <w:t>A</w:t>
      </w:r>
    </w:p>
    <w:p w14:paraId="494450C9" w14:textId="77777777" w:rsidR="00572005" w:rsidRDefault="00572005" w:rsidP="00572005">
      <w:pPr>
        <w:pStyle w:val="OPAanhef"/>
      </w:pPr>
      <w:r>
        <w:t>Na artikel 25.5.6 wordt een nieuw artikel ingevoegd, luidende:</w:t>
      </w:r>
    </w:p>
    <w:p w14:paraId="5CDBFD3E" w14:textId="77777777" w:rsidR="00572005" w:rsidRDefault="00572005" w:rsidP="00572005">
      <w:pPr>
        <w:pStyle w:val="OPAanhef"/>
      </w:pPr>
    </w:p>
    <w:p w14:paraId="7E8F25A3" w14:textId="77777777" w:rsidR="00572005" w:rsidRPr="006A68B3" w:rsidRDefault="00572005" w:rsidP="00572005">
      <w:pPr>
        <w:pStyle w:val="OPAanhef"/>
        <w:rPr>
          <w:b/>
          <w:bCs w:val="0"/>
        </w:rPr>
      </w:pPr>
      <w:r w:rsidRPr="006A68B3">
        <w:rPr>
          <w:b/>
          <w:bCs w:val="0"/>
        </w:rPr>
        <w:t xml:space="preserve">Artikel 25.5.6a. Correctie vaststellen </w:t>
      </w:r>
      <w:proofErr w:type="spellStart"/>
      <w:r w:rsidRPr="006A68B3">
        <w:rPr>
          <w:b/>
          <w:bCs w:val="0"/>
        </w:rPr>
        <w:t>nettowoonlasten</w:t>
      </w:r>
      <w:proofErr w:type="spellEnd"/>
    </w:p>
    <w:p w14:paraId="54A3D08E" w14:textId="77777777" w:rsidR="00572005" w:rsidRDefault="00572005" w:rsidP="00572005">
      <w:pPr>
        <w:pStyle w:val="OPAanhef"/>
      </w:pPr>
      <w:r>
        <w:t xml:space="preserve">Bij het vaststellen van de </w:t>
      </w:r>
      <w:proofErr w:type="spellStart"/>
      <w:r>
        <w:t>nettowoonlasten</w:t>
      </w:r>
      <w:proofErr w:type="spellEnd"/>
      <w:r>
        <w:t>, als bedoeld in artikel 15, eerste lid, onderdeel b, van de regeling, vermindert de ontvanger het bedrag, genoemd in artikel 17, tweede lid, van de Wet op de huurtoeslag, met € 37,72.</w:t>
      </w:r>
    </w:p>
    <w:p w14:paraId="2B84B89F" w14:textId="77777777" w:rsidR="00572005" w:rsidRDefault="00572005" w:rsidP="00572005">
      <w:pPr>
        <w:pStyle w:val="OPAanhef"/>
      </w:pPr>
    </w:p>
    <w:p w14:paraId="1DAB67DB" w14:textId="77777777" w:rsidR="00572005" w:rsidRDefault="00572005" w:rsidP="00572005">
      <w:pPr>
        <w:pStyle w:val="OPAanhef"/>
      </w:pPr>
      <w:r>
        <w:t>B</w:t>
      </w:r>
    </w:p>
    <w:p w14:paraId="6FD6EE31" w14:textId="77777777" w:rsidR="00572005" w:rsidRDefault="00572005" w:rsidP="00572005">
      <w:pPr>
        <w:pStyle w:val="OPAanhef"/>
      </w:pPr>
      <w:r>
        <w:t>Na de derde alinea van artikel 26.2.10 wordt een alinea ingevoegd, luidende:</w:t>
      </w:r>
    </w:p>
    <w:p w14:paraId="237CC71D" w14:textId="77777777" w:rsidR="00572005" w:rsidRDefault="00572005" w:rsidP="00572005">
      <w:pPr>
        <w:pStyle w:val="OPAanhef"/>
      </w:pPr>
    </w:p>
    <w:p w14:paraId="04EF5A03" w14:textId="77777777" w:rsidR="00572005" w:rsidRDefault="00572005" w:rsidP="00572005">
      <w:pPr>
        <w:pStyle w:val="OPAanhef"/>
      </w:pPr>
      <w:r>
        <w:t xml:space="preserve">Bij het vaststellen van de </w:t>
      </w:r>
      <w:proofErr w:type="spellStart"/>
      <w:r>
        <w:t>nettowoonlasten</w:t>
      </w:r>
      <w:proofErr w:type="spellEnd"/>
      <w:r>
        <w:t>, als bedoeld in artikel 15, eerste lid, onderdeel b, van de regeling, vermindert de ontvanger het bedrag, genoemd in artikel 17, tweede lid, van de Wet op de huurtoeslag, met € 37,72.</w:t>
      </w:r>
    </w:p>
    <w:p w14:paraId="33E6DEA6" w14:textId="26C113C8" w:rsidR="00A65499" w:rsidRDefault="00A65499">
      <w:pPr>
        <w:pStyle w:val="OPAanhef"/>
      </w:pPr>
    </w:p>
    <w:p w14:paraId="3AF85DAC" w14:textId="77777777" w:rsidR="00A65499" w:rsidRDefault="00715195">
      <w:pPr>
        <w:pStyle w:val="OPAanhef"/>
      </w:pPr>
      <w:r>
        <w:t xml:space="preserve"> </w:t>
      </w:r>
      <w:r>
        <w:rPr>
          <w:b/>
        </w:rPr>
        <w:t>Artikel II</w:t>
      </w:r>
    </w:p>
    <w:p w14:paraId="652E6161" w14:textId="11E6834F" w:rsidR="00A65499" w:rsidRDefault="00715195">
      <w:pPr>
        <w:pStyle w:val="OPAanhef"/>
      </w:pPr>
      <w:r>
        <w:t>Dit besluit treedt in werking met ingang van de [</w:t>
      </w:r>
      <w:r>
        <w:rPr>
          <w:b/>
        </w:rPr>
        <w:t>…</w:t>
      </w:r>
      <w:r>
        <w:t xml:space="preserve"> (</w:t>
      </w:r>
      <w:r>
        <w:rPr>
          <w:b/>
        </w:rPr>
        <w:t>bijvoorbeeld achtste</w:t>
      </w:r>
      <w:r>
        <w:t>)] dag na die van de bekendmaking [</w:t>
      </w:r>
      <w:r>
        <w:rPr>
          <w:i/>
        </w:rPr>
        <w:t xml:space="preserve">en werkt terug tot en met 1 </w:t>
      </w:r>
      <w:r w:rsidR="00DC034B">
        <w:rPr>
          <w:i/>
        </w:rPr>
        <w:t xml:space="preserve">januari </w:t>
      </w:r>
      <w:r w:rsidR="00572005">
        <w:rPr>
          <w:i/>
        </w:rPr>
        <w:t>2</w:t>
      </w:r>
      <w:r>
        <w:rPr>
          <w:i/>
        </w:rPr>
        <w:t>024</w:t>
      </w:r>
      <w:r>
        <w:t>].</w:t>
      </w:r>
    </w:p>
    <w:p w14:paraId="3F5AB488" w14:textId="77777777" w:rsidR="00A65499" w:rsidRDefault="00715195">
      <w:pPr>
        <w:pStyle w:val="OPAanhef"/>
      </w:pPr>
      <w:r>
        <w:t xml:space="preserve"> </w:t>
      </w:r>
    </w:p>
    <w:p w14:paraId="15CCADA2" w14:textId="77777777" w:rsidR="00A65499" w:rsidRDefault="00715195">
      <w:pPr>
        <w:pStyle w:val="OPAanhef"/>
      </w:pPr>
      <w:r>
        <w:t xml:space="preserve"> </w:t>
      </w:r>
    </w:p>
    <w:p w14:paraId="682DECBA" w14:textId="77777777" w:rsidR="00A65499" w:rsidRDefault="00715195">
      <w:pPr>
        <w:pStyle w:val="OPAanhef"/>
      </w:pPr>
      <w:r>
        <w:t>[</w:t>
      </w:r>
      <w:r>
        <w:rPr>
          <w:b/>
        </w:rPr>
        <w:t>gemeentenaam</w:t>
      </w:r>
      <w:r>
        <w:t>], [</w:t>
      </w:r>
      <w:r>
        <w:rPr>
          <w:b/>
        </w:rPr>
        <w:t>datum</w:t>
      </w:r>
      <w:r>
        <w:t>]</w:t>
      </w:r>
    </w:p>
    <w:p w14:paraId="44DF8359" w14:textId="77777777" w:rsidR="00A65499" w:rsidRDefault="00715195">
      <w:pPr>
        <w:pStyle w:val="OPAanhef"/>
      </w:pPr>
      <w:r>
        <w:t xml:space="preserve"> </w:t>
      </w:r>
    </w:p>
    <w:p w14:paraId="4DBEB6C3" w14:textId="77777777" w:rsidR="00A65499" w:rsidRDefault="00715195">
      <w:pPr>
        <w:pStyle w:val="OPAanhef"/>
      </w:pPr>
      <w:r>
        <w:t>Het college van burgemeester en wethouders,</w:t>
      </w:r>
    </w:p>
    <w:p w14:paraId="287630FB" w14:textId="77777777" w:rsidR="00A65499" w:rsidRDefault="00715195">
      <w:pPr>
        <w:pStyle w:val="OPAanhef"/>
      </w:pPr>
      <w:r>
        <w:t xml:space="preserve"> </w:t>
      </w:r>
    </w:p>
    <w:p w14:paraId="5941D45D" w14:textId="77777777" w:rsidR="00A65499" w:rsidRDefault="00715195">
      <w:pPr>
        <w:pStyle w:val="OPAanhef"/>
      </w:pPr>
      <w:r>
        <w:t>de secretaris, de burgemeester,</w:t>
      </w:r>
    </w:p>
    <w:p w14:paraId="4D7CE30E" w14:textId="77777777" w:rsidR="00A65499" w:rsidRDefault="00715195">
      <w:pPr>
        <w:pStyle w:val="OPAanhef"/>
      </w:pPr>
      <w:r>
        <w:t xml:space="preserve"> </w:t>
      </w:r>
    </w:p>
    <w:p w14:paraId="4B1F5FCF" w14:textId="77777777" w:rsidR="00A65499" w:rsidRDefault="00715195">
      <w:pPr>
        <w:pStyle w:val="OPAanhef"/>
      </w:pPr>
      <w:r>
        <w:t xml:space="preserve"> </w:t>
      </w:r>
    </w:p>
    <w:p w14:paraId="7963C90B" w14:textId="09B83135" w:rsidR="00A65499" w:rsidRDefault="00715195">
      <w:pPr>
        <w:pStyle w:val="OPAanhef"/>
      </w:pPr>
      <w:r>
        <w:lastRenderedPageBreak/>
        <w:t xml:space="preserve">  </w:t>
      </w:r>
      <w:r>
        <w:rPr>
          <w:b/>
        </w:rPr>
        <w:t xml:space="preserve">TOELICHTING </w:t>
      </w:r>
    </w:p>
    <w:p w14:paraId="4D6D217E" w14:textId="52EB991F" w:rsidR="00572005" w:rsidRDefault="00715195" w:rsidP="00572005">
      <w:pPr>
        <w:pStyle w:val="OPAanhef"/>
      </w:pPr>
      <w:r>
        <w:t xml:space="preserve"> </w:t>
      </w:r>
      <w:r w:rsidR="00572005">
        <w:t xml:space="preserve">Artikel I, onderdeel A introduceert artikel 25.5.6a en onderdeel B wijzigt artikel 26.2.10. Hiermee is geregeld dat bij het bepalen van de </w:t>
      </w:r>
      <w:proofErr w:type="spellStart"/>
      <w:r w:rsidR="00572005">
        <w:t>nettowoonlasten</w:t>
      </w:r>
      <w:proofErr w:type="spellEnd"/>
      <w:r w:rsidR="00572005">
        <w:t xml:space="preserve"> als bedoeld in artikel 15, eerste lid, onderdeel b, van de Uitvoeringsregeling Invorderingswet 1990, rekening wordt gehouden met de verhoging van de huurtoeslag waarmee betracht wordt om de koopkracht van de laagste inkomens te verbeteren.</w:t>
      </w:r>
      <w:r w:rsidR="00572005">
        <w:rPr>
          <w:rStyle w:val="Voetnootmarkering"/>
        </w:rPr>
        <w:footnoteReference w:id="1"/>
      </w:r>
      <w:r w:rsidR="00572005">
        <w:t xml:space="preserve"> Daarmee wordt voorkomen dat deze verhoging van de huurtoeslag resulteert in een stijging van de betalingscapaciteit van de belastingschuldige waardoor het beoogde effect van inkomensondersteuning niet wordt bereikt.</w:t>
      </w:r>
      <w:r w:rsidR="00512733">
        <w:rPr>
          <w:rStyle w:val="Voetnootmarkering"/>
        </w:rPr>
        <w:footnoteReference w:id="2"/>
      </w:r>
      <w:r w:rsidR="00572005">
        <w:t xml:space="preserve"> Dit wordt gedaan door bij de vaststelling van de betalingscapaciteit ten aanzien van kwijtschelding en uitstel van betaling, de verhoging van de huurtoeslag buiten beschouwing te laten.</w:t>
      </w:r>
    </w:p>
    <w:p w14:paraId="6EAAB384" w14:textId="77777777" w:rsidR="00572005" w:rsidRDefault="00572005" w:rsidP="00572005">
      <w:pPr>
        <w:pStyle w:val="OPAanhef"/>
      </w:pPr>
    </w:p>
    <w:p w14:paraId="25B5B981" w14:textId="46F20E8E" w:rsidR="00572005" w:rsidRDefault="00572005" w:rsidP="00572005">
      <w:pPr>
        <w:pStyle w:val="OPAanhef"/>
      </w:pPr>
      <w:r>
        <w:t xml:space="preserve">Bij het bepalen van de betalingscapaciteit van de belastingschuldige voor kwijtschelding en uitstel van betaling in verband met betalingsproblemen, wordt onder meer gekeken naar de </w:t>
      </w:r>
      <w:proofErr w:type="spellStart"/>
      <w:r>
        <w:t>nettowoonlasten</w:t>
      </w:r>
      <w:proofErr w:type="spellEnd"/>
      <w:r>
        <w:t xml:space="preserve"> van de belastingschuldige. De </w:t>
      </w:r>
      <w:proofErr w:type="spellStart"/>
      <w:r>
        <w:t>nettowoonlasten</w:t>
      </w:r>
      <w:proofErr w:type="spellEnd"/>
      <w:r>
        <w:t xml:space="preserve"> worden gezien als een in aanmerking te nemen uitgave voor de belastingschuldige. Deze worden bepaald door de op de belastingschuldige drukkende huurprijs, bedoeld in artikel 5, eerste lid, van de Wet op de huurtoeslag (WHT), hypotheekrente (exclusief aflossing) en erfpachtcanon</w:t>
      </w:r>
      <w:r>
        <w:rPr>
          <w:rStyle w:val="Voetnootmarkering"/>
        </w:rPr>
        <w:footnoteReference w:id="3"/>
      </w:r>
      <w:r>
        <w:t xml:space="preserve"> te verminderen met de normhuur en de te ontvangen huurtoeslag of de te ontvangen woonkostentoeslag.</w:t>
      </w:r>
      <w:r>
        <w:rPr>
          <w:rStyle w:val="Voetnootmarkering"/>
        </w:rPr>
        <w:footnoteReference w:id="4"/>
      </w:r>
      <w:r>
        <w:t xml:space="preserve"> De normhuur betreft een bedrag dat ten minste voor rekening blijft voor de belastingschuldige en volgt uit artikel 17, tweede lid, WHT.</w:t>
      </w:r>
    </w:p>
    <w:p w14:paraId="479A48BA" w14:textId="77777777" w:rsidR="00572005" w:rsidRDefault="00572005" w:rsidP="00572005">
      <w:pPr>
        <w:pStyle w:val="OPAanhef"/>
      </w:pPr>
    </w:p>
    <w:p w14:paraId="04E4F0A0" w14:textId="68972810" w:rsidR="00572005" w:rsidRDefault="00572005" w:rsidP="00572005">
      <w:pPr>
        <w:pStyle w:val="OPAanhef"/>
      </w:pPr>
      <w:r>
        <w:t>Met de lasten- en koopkrachtbesluitvorming 2024 is onder meer besloten om de huurtoeslag te verhogen met € 34,67 per maand.</w:t>
      </w:r>
      <w:r>
        <w:rPr>
          <w:rStyle w:val="Voetnootmarkering"/>
        </w:rPr>
        <w:footnoteReference w:id="5"/>
      </w:r>
      <w:r>
        <w:t xml:space="preserve"> Recent is besloten – nadat gebleken was dat er een fout zat in de koopkrachtberekeningen voor 2024 – om de huurtoeslag extra te verhogen met € 3,05 per maand.</w:t>
      </w:r>
      <w:r>
        <w:rPr>
          <w:rStyle w:val="Voetnootmarkering"/>
        </w:rPr>
        <w:footnoteReference w:id="6"/>
      </w:r>
      <w:r>
        <w:t xml:space="preserve"> Hierdoor is er sprake van een totale verhoging van € 37,72 per maand. Deze verhoging van de huurtoeslag dient als inkomensondersteuning en moet de koopkracht van de laagste inkomens verbeteren. Als gevolg van deze verhoging worden de </w:t>
      </w:r>
      <w:proofErr w:type="spellStart"/>
      <w:r>
        <w:t>nettowoonlasten</w:t>
      </w:r>
      <w:proofErr w:type="spellEnd"/>
      <w:r>
        <w:t xml:space="preserve"> die in acht worden genomen bij het bepalen van de betalingscapaciteit lager en stijgt het netto-besteedbare inkomen bij gelijkblijvende omstandigheden. Door de stijging van het netto-besteedbare inkomen zal dit (sneller) boven de kosten van bestaan stijgen. Hierdoor zal de belastingschuldige over een positieve betalingscapaciteit beschikken met als gevolg dat in sommige gevallen géén recht (meer) bestaat op (volledige) kwijtschelding. De stijging zal ook leiden tot een hogere aflossingscapaciteit bij uitstel van betaling waardoor een belastingschuldige verplicht wordt om deze inkomensondersteuning aan te wenden om zijn belastingschuld (deels) af te lossen.</w:t>
      </w:r>
    </w:p>
    <w:p w14:paraId="5DEFD090" w14:textId="77777777" w:rsidR="00572005" w:rsidRDefault="00572005" w:rsidP="00572005">
      <w:pPr>
        <w:pStyle w:val="OPAanhef"/>
      </w:pPr>
    </w:p>
    <w:p w14:paraId="5421051E" w14:textId="77777777" w:rsidR="00572005" w:rsidRDefault="00572005" w:rsidP="00572005">
      <w:pPr>
        <w:pStyle w:val="OPAanhef"/>
      </w:pPr>
      <w:r>
        <w:t xml:space="preserve">Het is onwenselijk dat de verhoging van de huurtoeslag – die bedoeld is als inkomensondersteunende maatregel om de koopkracht van de laagste inkomens te verbeteren – ervoor zorgt dat in bepaalde gevallen belastingschuldigen niet langer in aanmerking komen voor (volledige) kwijtschelding. Hierdoor zou het beoogde effect van inkomensondersteuning niet worden bereikt. Daarnaast is het onwenselijk om als gevolg van deze verhoging de hogere aflossingscapaciteit te vorderen bij uitstel van betaling. Met name nu uitstel van betaling en kwijtschelding communicerende vaten zijn en zich </w:t>
      </w:r>
      <w:r>
        <w:lastRenderedPageBreak/>
        <w:t>anders de vreemde situatie kan voordoen dat iemand beter af is met het doen van een verzoek om kwijtschelding dan een verzoek om uitstel van betaling.</w:t>
      </w:r>
    </w:p>
    <w:p w14:paraId="51051D4B" w14:textId="3D365D20" w:rsidR="00572005" w:rsidRDefault="00572005" w:rsidP="00572005">
      <w:pPr>
        <w:pStyle w:val="OPAanhef"/>
      </w:pPr>
      <w:r>
        <w:t xml:space="preserve">Als gevolg van deze wijziging zal bij de berekening van de </w:t>
      </w:r>
      <w:proofErr w:type="spellStart"/>
      <w:r>
        <w:t>nettowoonlasten</w:t>
      </w:r>
      <w:proofErr w:type="spellEnd"/>
      <w:r>
        <w:t xml:space="preserve"> de normhuur – wat gezien wordt als de minimale bijdrage van een belastingschuldige – worden gecorrigeerd met de eigen bijdrage zoals dit ook gedaan wordt in de WHT. Voor 2024 betekent dit dat de normhuur, die volgt uit artikel 17, tweede lid, WHT en voor 2024 is vastgesteld op € 226,67, wordt gecorrigeerd met het bedrag dat volgt uit artikel 16 WHT en voor 2024 is vastgesteld op -/- € 37,72.</w:t>
      </w:r>
      <w:r>
        <w:rPr>
          <w:rStyle w:val="Voetnootmarkering"/>
        </w:rPr>
        <w:footnoteReference w:id="7"/>
      </w:r>
      <w:r>
        <w:t xml:space="preserve"> Hierdoor wordt de verhoging van de huurtoeslag buiten beschouwing gelaten.</w:t>
      </w:r>
    </w:p>
    <w:p w14:paraId="100B569C" w14:textId="77777777" w:rsidR="00572005" w:rsidRDefault="00572005">
      <w:pPr>
        <w:pStyle w:val="OPAanhef"/>
      </w:pPr>
    </w:p>
    <w:p w14:paraId="5D903599" w14:textId="6CC3926F" w:rsidR="00A65499" w:rsidRDefault="000E5962">
      <w:pPr>
        <w:pStyle w:val="OPAanhef"/>
      </w:pPr>
      <w:r>
        <w:t xml:space="preserve"> </w:t>
      </w:r>
      <w:r w:rsidR="00715195">
        <w:t>Artikel II regelt de datum van inwerkingtreding van de onderhavige wijzigingen.</w:t>
      </w:r>
      <w:r w:rsidRPr="000E5962">
        <w:t xml:space="preserve"> </w:t>
      </w:r>
      <w:r w:rsidR="00DC034B">
        <w:t>De</w:t>
      </w:r>
      <w:r w:rsidR="00DC034B">
        <w:t xml:space="preserve"> inwerkingtredingsdatum van de </w:t>
      </w:r>
      <w:r w:rsidR="00DC034B">
        <w:t>Leidraad Invordering 2008 van het rijk</w:t>
      </w:r>
      <w:r w:rsidR="00DC034B">
        <w:t xml:space="preserve"> is </w:t>
      </w:r>
      <w:r w:rsidR="00DC034B">
        <w:t>1 mei</w:t>
      </w:r>
      <w:r w:rsidR="00DC034B">
        <w:t xml:space="preserve"> 2024</w:t>
      </w:r>
      <w:r w:rsidR="00DC034B" w:rsidRPr="000E5962">
        <w:t>.</w:t>
      </w:r>
      <w:r w:rsidR="00DC034B">
        <w:rPr>
          <w:rStyle w:val="Voetnootmarkering"/>
        </w:rPr>
        <w:footnoteReference w:id="8"/>
      </w:r>
      <w:r w:rsidR="00DC034B">
        <w:t xml:space="preserve"> Decentrale overheden zijn eerder opgeroepen om kwijtscheldingsverzoeken aan te houden. Als aan het besluit terugwerkende kracht wordt gegeven tot en met 1 januari 2024 dan staat buiten twijfel dat bij de afhandeling van kwijtscheldingsverzoeken die voor 1 mei 2024 zijn ingediend rekening gehouden wordt met de gecorrigeerde huurnorm. </w:t>
      </w:r>
    </w:p>
    <w:p w14:paraId="006510D1" w14:textId="77777777" w:rsidR="00A65499" w:rsidRDefault="00715195">
      <w:pPr>
        <w:pStyle w:val="OPAanhef"/>
      </w:pPr>
      <w:r>
        <w:t>Dit besluit is na de inwerkingtreding terstond uitgewerkt en bevat daarom geen vervalbepaling.</w:t>
      </w:r>
    </w:p>
    <w:p w14:paraId="4042DA6C" w14:textId="77777777" w:rsidR="00A65499" w:rsidRDefault="00715195">
      <w:pPr>
        <w:pStyle w:val="OPAanhef"/>
      </w:pPr>
      <w:r>
        <w:t xml:space="preserve"> </w:t>
      </w:r>
    </w:p>
    <w:p w14:paraId="5FC2396D" w14:textId="77777777" w:rsidR="00A65499" w:rsidRDefault="00715195">
      <w:pPr>
        <w:pStyle w:val="OPAanhef"/>
      </w:pPr>
      <w:r>
        <w:t xml:space="preserve"> </w:t>
      </w:r>
    </w:p>
    <w:sectPr w:rsidR="00A654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6093" w14:textId="77777777" w:rsidR="00E3767B" w:rsidRDefault="00E3767B">
      <w:r>
        <w:separator/>
      </w:r>
    </w:p>
  </w:endnote>
  <w:endnote w:type="continuationSeparator" w:id="0">
    <w:p w14:paraId="04178E35" w14:textId="77777777"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EACE" w14:textId="77777777" w:rsidR="00E3767B" w:rsidRDefault="00E3767B">
      <w:r>
        <w:separator/>
      </w:r>
    </w:p>
  </w:footnote>
  <w:footnote w:type="continuationSeparator" w:id="0">
    <w:p w14:paraId="7408C184" w14:textId="77777777" w:rsidR="00E3767B" w:rsidRDefault="00E3767B">
      <w:r>
        <w:continuationSeparator/>
      </w:r>
    </w:p>
  </w:footnote>
  <w:footnote w:id="1">
    <w:p w14:paraId="0658587F" w14:textId="7A4037CF" w:rsidR="00572005" w:rsidRDefault="00572005">
      <w:pPr>
        <w:pStyle w:val="Voetnoottekst"/>
      </w:pPr>
      <w:r>
        <w:rPr>
          <w:rStyle w:val="Voetnootmarkering"/>
        </w:rPr>
        <w:footnoteRef/>
      </w:r>
      <w:r w:rsidRPr="00572005">
        <w:rPr>
          <w:rFonts w:asciiTheme="minorHAnsi" w:hAnsiTheme="minorHAnsi" w:cstheme="minorHAnsi"/>
          <w:sz w:val="18"/>
          <w:szCs w:val="18"/>
        </w:rPr>
        <w:t xml:space="preserve"> </w:t>
      </w:r>
      <w:r w:rsidRPr="00572005">
        <w:rPr>
          <w:rFonts w:asciiTheme="minorHAnsi" w:hAnsiTheme="minorHAnsi" w:cstheme="minorHAnsi"/>
          <w:sz w:val="18"/>
          <w:szCs w:val="18"/>
          <w:shd w:val="clear" w:color="auto" w:fill="FFFFFF"/>
        </w:rPr>
        <w:t>Wet van 20 december 2023 tot verlaging van de eigen bijdrage in de huurtoeslag voor de jaren 2024 en verder (Wet verlaging eigen bijdrage huurtoeslag) (</w:t>
      </w:r>
      <w:hyperlink r:id="rId1" w:tooltip="link naar publicatie stb-2023-494" w:history="1">
        <w:r w:rsidRPr="00572005">
          <w:rPr>
            <w:rFonts w:asciiTheme="minorHAnsi" w:hAnsiTheme="minorHAnsi" w:cstheme="minorHAnsi"/>
            <w:sz w:val="18"/>
            <w:szCs w:val="18"/>
            <w:u w:val="single"/>
            <w:shd w:val="clear" w:color="auto" w:fill="FFFFFF"/>
          </w:rPr>
          <w:t>Stb. 2023, 494</w:t>
        </w:r>
      </w:hyperlink>
      <w:r w:rsidRPr="00572005">
        <w:rPr>
          <w:rFonts w:asciiTheme="minorHAnsi" w:hAnsiTheme="minorHAnsi" w:cstheme="minorHAnsi"/>
          <w:sz w:val="18"/>
          <w:szCs w:val="18"/>
          <w:shd w:val="clear" w:color="auto" w:fill="FFFFFF"/>
        </w:rPr>
        <w:t>)</w:t>
      </w:r>
    </w:p>
  </w:footnote>
  <w:footnote w:id="2">
    <w:p w14:paraId="335E1407" w14:textId="0CA9AD61" w:rsidR="00512733" w:rsidRPr="00512733" w:rsidRDefault="00512733">
      <w:pPr>
        <w:pStyle w:val="Voetnoottekst"/>
      </w:pPr>
      <w:r>
        <w:rPr>
          <w:rStyle w:val="Voetnootmarkering"/>
        </w:rPr>
        <w:footnoteRef/>
      </w:r>
      <w:r>
        <w:t xml:space="preserve"> </w:t>
      </w:r>
      <w:hyperlink r:id="rId2" w:history="1">
        <w:r w:rsidRPr="00512733">
          <w:rPr>
            <w:rStyle w:val="Hyperlink"/>
            <w:rFonts w:asciiTheme="minorHAnsi" w:hAnsiTheme="minorHAnsi" w:cstheme="minorHAnsi"/>
            <w:color w:val="auto"/>
            <w:sz w:val="18"/>
            <w:szCs w:val="18"/>
          </w:rPr>
          <w:t>https://vng.nl/nieuws/update-kwijtscheldingsverzoeken-ivm-verhoging-huurtoeslag</w:t>
        </w:r>
      </w:hyperlink>
      <w:r w:rsidRPr="00512733">
        <w:rPr>
          <w:rFonts w:asciiTheme="minorHAnsi" w:hAnsiTheme="minorHAnsi" w:cstheme="minorHAnsi"/>
          <w:sz w:val="18"/>
          <w:szCs w:val="18"/>
        </w:rPr>
        <w:t xml:space="preserve"> </w:t>
      </w:r>
    </w:p>
  </w:footnote>
  <w:footnote w:id="3">
    <w:p w14:paraId="7992ADBB" w14:textId="11EA84F9" w:rsidR="00572005" w:rsidRPr="00572005" w:rsidRDefault="00572005">
      <w:pPr>
        <w:pStyle w:val="Voetnoottekst"/>
        <w:rPr>
          <w:rFonts w:asciiTheme="minorHAnsi" w:hAnsiTheme="minorHAnsi" w:cstheme="minorHAnsi"/>
        </w:rPr>
      </w:pPr>
      <w:r>
        <w:rPr>
          <w:rStyle w:val="Voetnootmarkering"/>
        </w:rPr>
        <w:footnoteRef/>
      </w:r>
      <w:r>
        <w:t xml:space="preserve"> </w:t>
      </w:r>
      <w:r w:rsidRPr="00572005">
        <w:rPr>
          <w:rFonts w:asciiTheme="minorHAnsi" w:hAnsiTheme="minorHAnsi" w:cstheme="minorHAnsi"/>
          <w:sz w:val="18"/>
          <w:szCs w:val="18"/>
        </w:rPr>
        <w:t>NB: Bij uitstel van betaling worden de werkelijke uitgaven in aanmerking genomen op grond van artikel 25.5.6 Leidraad Invordering 2008.</w:t>
      </w:r>
    </w:p>
  </w:footnote>
  <w:footnote w:id="4">
    <w:p w14:paraId="26975FDC" w14:textId="3C9E8B86" w:rsidR="00572005" w:rsidRDefault="00572005">
      <w:pPr>
        <w:pStyle w:val="Voetnoottekst"/>
      </w:pPr>
      <w:r>
        <w:rPr>
          <w:rStyle w:val="Voetnootmarkering"/>
        </w:rPr>
        <w:footnoteRef/>
      </w:r>
      <w:r>
        <w:t xml:space="preserve"> </w:t>
      </w:r>
      <w:r w:rsidRPr="00572005">
        <w:rPr>
          <w:rFonts w:asciiTheme="minorHAnsi" w:hAnsiTheme="minorHAnsi" w:cstheme="minorHAnsi"/>
          <w:sz w:val="18"/>
          <w:szCs w:val="18"/>
        </w:rPr>
        <w:t>Artikel 15, lid 3, Uitvoeringsregeling IW 1990.</w:t>
      </w:r>
    </w:p>
  </w:footnote>
  <w:footnote w:id="5">
    <w:p w14:paraId="6386CE5A" w14:textId="061BFF46" w:rsidR="00572005" w:rsidRDefault="00572005">
      <w:pPr>
        <w:pStyle w:val="Voetnoottekst"/>
      </w:pPr>
      <w:r>
        <w:rPr>
          <w:rStyle w:val="Voetnootmarkering"/>
        </w:rPr>
        <w:footnoteRef/>
      </w:r>
      <w:r>
        <w:t xml:space="preserve"> </w:t>
      </w:r>
      <w:r w:rsidRPr="00572005">
        <w:rPr>
          <w:rFonts w:asciiTheme="minorHAnsi" w:hAnsiTheme="minorHAnsi" w:cstheme="minorHAnsi"/>
          <w:sz w:val="18"/>
          <w:szCs w:val="18"/>
          <w:shd w:val="clear" w:color="auto" w:fill="FFFFFF"/>
        </w:rPr>
        <w:t>Kamerstukken II 2023/24, </w:t>
      </w:r>
      <w:hyperlink r:id="rId3" w:tooltip="link naar publicatie kst-36429-2" w:history="1">
        <w:r w:rsidRPr="00572005">
          <w:rPr>
            <w:rFonts w:asciiTheme="minorHAnsi" w:hAnsiTheme="minorHAnsi" w:cstheme="minorHAnsi"/>
            <w:sz w:val="18"/>
            <w:szCs w:val="18"/>
            <w:u w:val="single"/>
            <w:shd w:val="clear" w:color="auto" w:fill="FFFFFF"/>
          </w:rPr>
          <w:t>36 429, nr. 2</w:t>
        </w:r>
      </w:hyperlink>
      <w:r w:rsidRPr="00572005">
        <w:rPr>
          <w:rFonts w:asciiTheme="minorHAnsi" w:hAnsiTheme="minorHAnsi" w:cstheme="minorHAnsi"/>
          <w:sz w:val="18"/>
          <w:szCs w:val="18"/>
          <w:shd w:val="clear" w:color="auto" w:fill="FFFFFF"/>
        </w:rPr>
        <w:t>.</w:t>
      </w:r>
    </w:p>
  </w:footnote>
  <w:footnote w:id="6">
    <w:p w14:paraId="2DCCE5CA" w14:textId="4332DD89" w:rsidR="00572005" w:rsidRDefault="00572005">
      <w:pPr>
        <w:pStyle w:val="Voetnoottekst"/>
      </w:pPr>
      <w:r>
        <w:rPr>
          <w:rStyle w:val="Voetnootmarkering"/>
        </w:rPr>
        <w:footnoteRef/>
      </w:r>
      <w:r>
        <w:t xml:space="preserve"> </w:t>
      </w:r>
      <w:r w:rsidRPr="00572005">
        <w:rPr>
          <w:rFonts w:asciiTheme="minorHAnsi" w:hAnsiTheme="minorHAnsi" w:cstheme="minorHAnsi"/>
          <w:sz w:val="18"/>
          <w:szCs w:val="18"/>
          <w:shd w:val="clear" w:color="auto" w:fill="FFFFFF"/>
        </w:rPr>
        <w:t>Kamerstukken II 2023/24, </w:t>
      </w:r>
      <w:hyperlink r:id="rId4" w:tooltip="link naar publicatie kst-36410-XV-66" w:history="1">
        <w:r w:rsidRPr="00572005">
          <w:rPr>
            <w:rFonts w:asciiTheme="minorHAnsi" w:hAnsiTheme="minorHAnsi" w:cstheme="minorHAnsi"/>
            <w:sz w:val="18"/>
            <w:szCs w:val="18"/>
            <w:u w:val="single"/>
            <w:shd w:val="clear" w:color="auto" w:fill="FFFFFF"/>
          </w:rPr>
          <w:t>36 410-XV, nr. 66</w:t>
        </w:r>
      </w:hyperlink>
      <w:r w:rsidRPr="00572005">
        <w:rPr>
          <w:rFonts w:asciiTheme="minorHAnsi" w:hAnsiTheme="minorHAnsi" w:cstheme="minorHAnsi"/>
          <w:sz w:val="18"/>
          <w:szCs w:val="18"/>
          <w:shd w:val="clear" w:color="auto" w:fill="FFFFFF"/>
        </w:rPr>
        <w:t>.</w:t>
      </w:r>
    </w:p>
  </w:footnote>
  <w:footnote w:id="7">
    <w:p w14:paraId="4661F3BF" w14:textId="32335DA8" w:rsidR="00572005" w:rsidRDefault="00572005">
      <w:pPr>
        <w:pStyle w:val="Voetnoottekst"/>
      </w:pPr>
      <w:r>
        <w:rPr>
          <w:rStyle w:val="Voetnootmarkering"/>
        </w:rPr>
        <w:footnoteRef/>
      </w:r>
      <w:r>
        <w:t xml:space="preserve"> </w:t>
      </w:r>
      <w:r w:rsidRPr="00572005">
        <w:rPr>
          <w:rFonts w:asciiTheme="minorHAnsi" w:hAnsiTheme="minorHAnsi" w:cstheme="minorHAnsi"/>
          <w:sz w:val="18"/>
          <w:szCs w:val="18"/>
        </w:rPr>
        <w:t>Zie noot 1, 3 en 4.</w:t>
      </w:r>
    </w:p>
  </w:footnote>
  <w:footnote w:id="8">
    <w:p w14:paraId="3CD66944" w14:textId="77777777" w:rsidR="00DC034B" w:rsidRPr="000E5962" w:rsidRDefault="00DC034B" w:rsidP="00DC034B">
      <w:pPr>
        <w:pStyle w:val="Voetnoottekst"/>
        <w:rPr>
          <w:rFonts w:asciiTheme="minorHAnsi" w:hAnsiTheme="minorHAnsi" w:cstheme="minorHAnsi"/>
          <w:sz w:val="18"/>
          <w:szCs w:val="18"/>
        </w:rPr>
      </w:pPr>
      <w:r>
        <w:rPr>
          <w:rStyle w:val="Voetnootmarkering"/>
        </w:rPr>
        <w:footnoteRef/>
      </w:r>
      <w:r>
        <w:t xml:space="preserve"> </w:t>
      </w:r>
      <w:hyperlink r:id="rId5" w:history="1">
        <w:r w:rsidRPr="000E5962">
          <w:rPr>
            <w:rStyle w:val="Hyperlink"/>
            <w:rFonts w:asciiTheme="minorHAnsi" w:hAnsiTheme="minorHAnsi" w:cstheme="minorHAnsi"/>
            <w:color w:val="auto"/>
            <w:sz w:val="18"/>
            <w:szCs w:val="18"/>
          </w:rPr>
          <w:t>https://zoek.officielebekendmakingen.nl/stcrt-2024-14236.html</w:t>
        </w:r>
      </w:hyperlink>
      <w:r>
        <w:rPr>
          <w:rFonts w:asciiTheme="minorHAnsi" w:hAnsiTheme="minorHAnsi" w:cstheme="minorHAns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D96F51"/>
    <w:multiLevelType w:val="multilevel"/>
    <w:tmpl w:val="6CE03498"/>
    <w:numStyleLink w:val="Stijl1"/>
  </w:abstractNum>
  <w:abstractNum w:abstractNumId="5"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836727"/>
    <w:multiLevelType w:val="multilevel"/>
    <w:tmpl w:val="921CE4C8"/>
    <w:numStyleLink w:val="VNGGenummerdelijst"/>
  </w:abstractNum>
  <w:abstractNum w:abstractNumId="7"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173AEA"/>
    <w:multiLevelType w:val="multilevel"/>
    <w:tmpl w:val="0562E376"/>
    <w:numStyleLink w:val="VNGOngenummerdelijst"/>
  </w:abstractNum>
  <w:abstractNum w:abstractNumId="12" w15:restartNumberingAfterBreak="0">
    <w:nsid w:val="20F470A1"/>
    <w:multiLevelType w:val="multilevel"/>
    <w:tmpl w:val="2B548E96"/>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6"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8"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1" w15:restartNumberingAfterBreak="0">
    <w:nsid w:val="6998479B"/>
    <w:multiLevelType w:val="multilevel"/>
    <w:tmpl w:val="0562E376"/>
    <w:numStyleLink w:val="VNGOngenummerdelijst"/>
  </w:abstractNum>
  <w:abstractNum w:abstractNumId="32" w15:restartNumberingAfterBreak="0">
    <w:nsid w:val="69DD0E41"/>
    <w:multiLevelType w:val="multilevel"/>
    <w:tmpl w:val="921CE4C8"/>
    <w:numStyleLink w:val="VNGGenummerdelijst"/>
  </w:abstractNum>
  <w:abstractNum w:abstractNumId="33"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4"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35"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36"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16cid:durableId="1279289788">
    <w:abstractNumId w:val="12"/>
  </w:num>
  <w:num w:numId="2" w16cid:durableId="1391999784">
    <w:abstractNumId w:val="25"/>
  </w:num>
  <w:num w:numId="3" w16cid:durableId="1428580431">
    <w:abstractNumId w:val="9"/>
  </w:num>
  <w:num w:numId="4" w16cid:durableId="1746029179">
    <w:abstractNumId w:val="0"/>
  </w:num>
  <w:num w:numId="5" w16cid:durableId="820124189">
    <w:abstractNumId w:val="16"/>
  </w:num>
  <w:num w:numId="6" w16cid:durableId="1395009013">
    <w:abstractNumId w:val="30"/>
  </w:num>
  <w:num w:numId="7" w16cid:durableId="1399133189">
    <w:abstractNumId w:val="18"/>
  </w:num>
  <w:num w:numId="8" w16cid:durableId="753472695">
    <w:abstractNumId w:val="15"/>
  </w:num>
  <w:num w:numId="9" w16cid:durableId="2055500889">
    <w:abstractNumId w:val="13"/>
  </w:num>
  <w:num w:numId="10" w16cid:durableId="1164126448">
    <w:abstractNumId w:val="7"/>
  </w:num>
  <w:num w:numId="11" w16cid:durableId="891382456">
    <w:abstractNumId w:val="26"/>
  </w:num>
  <w:num w:numId="12" w16cid:durableId="626393325">
    <w:abstractNumId w:val="29"/>
  </w:num>
  <w:num w:numId="13" w16cid:durableId="1902253225">
    <w:abstractNumId w:val="23"/>
  </w:num>
  <w:num w:numId="14" w16cid:durableId="812674651">
    <w:abstractNumId w:val="28"/>
  </w:num>
  <w:num w:numId="15" w16cid:durableId="1836457132">
    <w:abstractNumId w:val="24"/>
  </w:num>
  <w:num w:numId="16" w16cid:durableId="2135057830">
    <w:abstractNumId w:val="20"/>
  </w:num>
  <w:num w:numId="17" w16cid:durableId="75136315">
    <w:abstractNumId w:val="5"/>
  </w:num>
  <w:num w:numId="18" w16cid:durableId="502164372">
    <w:abstractNumId w:val="32"/>
  </w:num>
  <w:num w:numId="19" w16cid:durableId="65611347">
    <w:abstractNumId w:val="6"/>
  </w:num>
  <w:num w:numId="20" w16cid:durableId="989332463">
    <w:abstractNumId w:val="31"/>
  </w:num>
  <w:num w:numId="21" w16cid:durableId="260072752">
    <w:abstractNumId w:val="11"/>
  </w:num>
  <w:num w:numId="22" w16cid:durableId="926235472">
    <w:abstractNumId w:val="22"/>
  </w:num>
  <w:num w:numId="23" w16cid:durableId="1463234292">
    <w:abstractNumId w:val="35"/>
  </w:num>
  <w:num w:numId="24" w16cid:durableId="1280799594">
    <w:abstractNumId w:val="21"/>
  </w:num>
  <w:num w:numId="25" w16cid:durableId="225144440">
    <w:abstractNumId w:val="36"/>
  </w:num>
  <w:num w:numId="26" w16cid:durableId="1108083334">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16cid:durableId="1082026706">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252712571">
    <w:abstractNumId w:val="36"/>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16cid:durableId="2112969612">
    <w:abstractNumId w:val="3"/>
  </w:num>
  <w:num w:numId="30" w16cid:durableId="1494101928">
    <w:abstractNumId w:val="10"/>
  </w:num>
  <w:num w:numId="31" w16cid:durableId="625550006">
    <w:abstractNumId w:val="1"/>
  </w:num>
  <w:num w:numId="32" w16cid:durableId="292296951">
    <w:abstractNumId w:val="17"/>
  </w:num>
  <w:num w:numId="33" w16cid:durableId="1648167277">
    <w:abstractNumId w:val="4"/>
  </w:num>
  <w:num w:numId="34" w16cid:durableId="1820069244">
    <w:abstractNumId w:val="19"/>
  </w:num>
  <w:num w:numId="35" w16cid:durableId="732779110">
    <w:abstractNumId w:val="2"/>
  </w:num>
  <w:num w:numId="36" w16cid:durableId="795635398">
    <w:abstractNumId w:val="33"/>
  </w:num>
  <w:num w:numId="37" w16cid:durableId="268662868">
    <w:abstractNumId w:val="34"/>
  </w:num>
  <w:num w:numId="38" w16cid:durableId="803620612">
    <w:abstractNumId w:val="27"/>
  </w:num>
  <w:num w:numId="39" w16cid:durableId="1345353133">
    <w:abstractNumId w:val="27"/>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0" w16cid:durableId="1998414214">
    <w:abstractNumId w:val="8"/>
  </w:num>
  <w:num w:numId="41" w16cid:durableId="90120948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5962"/>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2733"/>
    <w:rsid w:val="0051634F"/>
    <w:rsid w:val="00516F42"/>
    <w:rsid w:val="00523F6C"/>
    <w:rsid w:val="0052698B"/>
    <w:rsid w:val="005301BE"/>
    <w:rsid w:val="005320EB"/>
    <w:rsid w:val="00540850"/>
    <w:rsid w:val="00544724"/>
    <w:rsid w:val="00557686"/>
    <w:rsid w:val="005607B0"/>
    <w:rsid w:val="00567997"/>
    <w:rsid w:val="00571B58"/>
    <w:rsid w:val="00572005"/>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8B3"/>
    <w:rsid w:val="006A6E04"/>
    <w:rsid w:val="006B3495"/>
    <w:rsid w:val="006B5D75"/>
    <w:rsid w:val="006C608C"/>
    <w:rsid w:val="006D1648"/>
    <w:rsid w:val="006D284B"/>
    <w:rsid w:val="006F34B6"/>
    <w:rsid w:val="006F40B2"/>
    <w:rsid w:val="007125DA"/>
    <w:rsid w:val="00715195"/>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65499"/>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034B"/>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B4667"/>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29019A74"/>
  <w15:docId w15:val="{45CC85CD-177C-4CBB-8A49-390D86FC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index heading" w:semiHidden="1"/>
    <w:lsdException w:name="Title" w:uiPriority="2" w:qFormat="1"/>
    <w:lsdException w:name="Signature" w:semiHidden="1"/>
    <w:lsdException w:name="Body Text First Indent" w:semiHidden="1"/>
    <w:lsdException w:name="Body Text First Indent 2" w:semiHidden="1"/>
    <w:lsdException w:name="Hyperlink" w:uiPriority="99"/>
    <w:lsdException w:name="FollowedHyperlink" w:uiPriority="4"/>
    <w:lsdException w:name="E-mail Signature"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DC034B"/>
    <w:pPr>
      <w:spacing w:line="280" w:lineRule="atLeast"/>
    </w:pPr>
    <w:rPr>
      <w:rFonts w:ascii="Arial" w:hAnsi="Arial"/>
      <w:kern w:val="2"/>
    </w:rPr>
  </w:style>
  <w:style w:type="paragraph" w:styleId="Kop1">
    <w:name w:val="heading 1"/>
    <w:aliases w:val="Aanhef Regeling,Webversie;titel document"/>
    <w:basedOn w:val="Standaard"/>
    <w:next w:val="Standaard"/>
    <w:link w:val="Kop1Char"/>
    <w:uiPriority w:val="5"/>
    <w:qFormat/>
    <w:rsid w:val="00DC034B"/>
    <w:pPr>
      <w:keepNext/>
      <w:spacing w:before="800" w:after="800" w:line="800" w:lineRule="atLeast"/>
      <w:outlineLvl w:val="0"/>
    </w:pPr>
    <w:rPr>
      <w:bCs/>
      <w:color w:val="002C64"/>
      <w:kern w:val="32"/>
      <w:sz w:val="60"/>
      <w:szCs w:val="32"/>
    </w:rPr>
  </w:style>
  <w:style w:type="paragraph" w:styleId="Kop2">
    <w:name w:val="heading 2"/>
    <w:aliases w:val="Hoofdstuk,Kop 2 Hoofdstuktitel"/>
    <w:basedOn w:val="Standaard"/>
    <w:next w:val="Standaard"/>
    <w:link w:val="Kop2Char"/>
    <w:uiPriority w:val="1"/>
    <w:qFormat/>
    <w:rsid w:val="00DC034B"/>
    <w:pPr>
      <w:spacing w:before="600" w:after="300" w:line="400" w:lineRule="atLeast"/>
      <w:outlineLvl w:val="1"/>
    </w:pPr>
    <w:rPr>
      <w:rFonts w:cs="Courier New"/>
      <w:color w:val="00A9F3"/>
      <w:sz w:val="40"/>
      <w:szCs w:val="50"/>
    </w:rPr>
  </w:style>
  <w:style w:type="paragraph" w:styleId="Kop3">
    <w:name w:val="heading 3"/>
    <w:aliases w:val="Artikel,Kop 3 Paragraaftitel"/>
    <w:basedOn w:val="Standaard"/>
    <w:next w:val="Standaard"/>
    <w:link w:val="Kop3Char"/>
    <w:uiPriority w:val="1"/>
    <w:qFormat/>
    <w:rsid w:val="00DC034B"/>
    <w:pPr>
      <w:keepNext/>
      <w:spacing w:before="300" w:after="240" w:line="330" w:lineRule="atLeast"/>
      <w:outlineLvl w:val="2"/>
    </w:pPr>
    <w:rPr>
      <w:bCs/>
      <w:color w:val="00A9F3"/>
      <w:sz w:val="24"/>
      <w:szCs w:val="26"/>
    </w:rPr>
  </w:style>
  <w:style w:type="paragraph" w:styleId="Kop4">
    <w:name w:val="heading 4"/>
    <w:aliases w:val="Paragraaf"/>
    <w:basedOn w:val="Standaard"/>
    <w:next w:val="Standaard"/>
    <w:link w:val="Kop4Char"/>
    <w:uiPriority w:val="1"/>
    <w:qFormat/>
    <w:rsid w:val="00DC034B"/>
    <w:pPr>
      <w:keepNext/>
      <w:keepLines/>
      <w:spacing w:before="300"/>
      <w:outlineLvl w:val="3"/>
    </w:pPr>
    <w:rPr>
      <w:rFonts w:eastAsiaTheme="majorEastAsia" w:cstheme="majorBidi"/>
      <w:b/>
      <w:iCs/>
      <w:color w:val="00A9F3"/>
    </w:rPr>
  </w:style>
  <w:style w:type="paragraph" w:styleId="Kop5">
    <w:name w:val="heading 5"/>
    <w:aliases w:val="Sluiting"/>
    <w:basedOn w:val="Standaard"/>
    <w:next w:val="Standaard"/>
    <w:link w:val="Kop5Char"/>
    <w:uiPriority w:val="1"/>
    <w:qFormat/>
    <w:rsid w:val="00DC034B"/>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DC034B"/>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DC034B"/>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unhideWhenUsed/>
    <w:qFormat/>
    <w:rsid w:val="00DC034B"/>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unhideWhenUsed/>
    <w:qFormat/>
    <w:rsid w:val="00DC034B"/>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rsid w:val="00DC034B"/>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DC034B"/>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uiPriority w:val="39"/>
    <w:rsid w:val="00DC034B"/>
    <w:pPr>
      <w:spacing w:after="100"/>
    </w:pPr>
  </w:style>
  <w:style w:type="paragraph" w:styleId="Inhopg2">
    <w:name w:val="toc 2"/>
    <w:basedOn w:val="Standaard"/>
    <w:next w:val="Standaard"/>
    <w:autoRedefine/>
    <w:uiPriority w:val="39"/>
    <w:unhideWhenUsed/>
    <w:rsid w:val="00DC034B"/>
    <w:pPr>
      <w:spacing w:after="100"/>
    </w:pPr>
  </w:style>
  <w:style w:type="paragraph" w:styleId="Inhopg3">
    <w:name w:val="toc 3"/>
    <w:basedOn w:val="Standaard"/>
    <w:next w:val="Standaard"/>
    <w:autoRedefine/>
    <w:uiPriority w:val="39"/>
    <w:unhideWhenUsed/>
    <w:rsid w:val="00DC034B"/>
    <w:pPr>
      <w:spacing w:after="100"/>
      <w:ind w:left="567"/>
    </w:pPr>
  </w:style>
  <w:style w:type="paragraph" w:styleId="Inhopg4">
    <w:name w:val="toc 4"/>
    <w:basedOn w:val="Standaard"/>
    <w:next w:val="Standaard"/>
    <w:autoRedefine/>
    <w:semiHidden/>
    <w:unhideWhenUsed/>
    <w:rsid w:val="00DC034B"/>
    <w:pPr>
      <w:spacing w:after="100"/>
    </w:pPr>
  </w:style>
  <w:style w:type="paragraph" w:styleId="Inhopg5">
    <w:name w:val="toc 5"/>
    <w:basedOn w:val="Standaard"/>
    <w:next w:val="Standaard"/>
    <w:autoRedefine/>
    <w:semiHidden/>
    <w:unhideWhenUsed/>
    <w:rsid w:val="00DC034B"/>
    <w:pPr>
      <w:spacing w:after="100"/>
    </w:pPr>
  </w:style>
  <w:style w:type="paragraph" w:styleId="Inhopg6">
    <w:name w:val="toc 6"/>
    <w:basedOn w:val="Standaard"/>
    <w:next w:val="Standaard"/>
    <w:autoRedefine/>
    <w:semiHidden/>
    <w:unhideWhenUsed/>
    <w:rsid w:val="00DC034B"/>
    <w:pPr>
      <w:spacing w:after="100"/>
    </w:pPr>
  </w:style>
  <w:style w:type="paragraph" w:styleId="Inhopg7">
    <w:name w:val="toc 7"/>
    <w:basedOn w:val="Standaard"/>
    <w:next w:val="Standaard"/>
    <w:autoRedefine/>
    <w:semiHidden/>
    <w:unhideWhenUsed/>
    <w:rsid w:val="00DC034B"/>
    <w:pPr>
      <w:spacing w:after="100"/>
    </w:pPr>
  </w:style>
  <w:style w:type="paragraph" w:styleId="Inhopg8">
    <w:name w:val="toc 8"/>
    <w:basedOn w:val="Standaard"/>
    <w:next w:val="Standaard"/>
    <w:autoRedefine/>
    <w:semiHidden/>
    <w:unhideWhenUsed/>
    <w:rsid w:val="00DC034B"/>
    <w:pPr>
      <w:spacing w:after="100"/>
    </w:pPr>
  </w:style>
  <w:style w:type="paragraph" w:styleId="Inhopg9">
    <w:name w:val="toc 9"/>
    <w:basedOn w:val="Standaard"/>
    <w:next w:val="Standaard"/>
    <w:autoRedefine/>
    <w:semiHidden/>
    <w:unhideWhenUsed/>
    <w:rsid w:val="00DC034B"/>
    <w:pPr>
      <w:spacing w:after="100"/>
    </w:pPr>
  </w:style>
  <w:style w:type="paragraph" w:customStyle="1" w:styleId="Kop0">
    <w:name w:val="Kop 0"/>
    <w:basedOn w:val="Kop1"/>
    <w:next w:val="Standaard"/>
    <w:rsid w:val="001B47F7"/>
    <w:pPr>
      <w:outlineLvl w:val="9"/>
    </w:pPr>
  </w:style>
  <w:style w:type="paragraph" w:styleId="Koptekst">
    <w:name w:val="header"/>
    <w:basedOn w:val="Standaard"/>
    <w:link w:val="KoptekstChar"/>
    <w:unhideWhenUsed/>
    <w:rsid w:val="00DC034B"/>
    <w:pPr>
      <w:tabs>
        <w:tab w:val="center" w:pos="4513"/>
        <w:tab w:val="right" w:pos="9026"/>
      </w:tabs>
      <w:spacing w:line="240" w:lineRule="auto"/>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unhideWhenUsed/>
    <w:rsid w:val="00DC034B"/>
    <w:rPr>
      <w:vertAlign w:val="superscript"/>
    </w:rPr>
  </w:style>
  <w:style w:type="paragraph" w:styleId="Voetnoottekst">
    <w:name w:val="footnote text"/>
    <w:basedOn w:val="Standaard"/>
    <w:link w:val="VoetnoottekstChar"/>
    <w:semiHidden/>
    <w:unhideWhenUsed/>
    <w:rsid w:val="00DC034B"/>
    <w:pPr>
      <w:spacing w:line="240" w:lineRule="auto"/>
    </w:pPr>
  </w:style>
  <w:style w:type="paragraph" w:styleId="Voettekst">
    <w:name w:val="footer"/>
    <w:basedOn w:val="Standaard"/>
    <w:link w:val="VoettekstChar"/>
    <w:unhideWhenUsed/>
    <w:rsid w:val="00DC034B"/>
    <w:pPr>
      <w:tabs>
        <w:tab w:val="center" w:pos="4513"/>
        <w:tab w:val="right" w:pos="9026"/>
      </w:tabs>
      <w:spacing w:line="240" w:lineRule="auto"/>
    </w:pPr>
  </w:style>
  <w:style w:type="character" w:styleId="Hyperlink">
    <w:name w:val="Hyperlink"/>
    <w:basedOn w:val="Standaardalinea-lettertype"/>
    <w:uiPriority w:val="99"/>
    <w:unhideWhenUsed/>
    <w:rsid w:val="00DC034B"/>
    <w:rPr>
      <w:color w:val="002C64"/>
      <w:u w:val="single"/>
    </w:rPr>
  </w:style>
  <w:style w:type="character" w:styleId="GevolgdeHyperlink">
    <w:name w:val="FollowedHyperlink"/>
    <w:basedOn w:val="Standaardalinea-lettertype"/>
    <w:uiPriority w:val="4"/>
    <w:rsid w:val="00DC034B"/>
    <w:rPr>
      <w:color w:val="002C64"/>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DC034B"/>
    <w:rPr>
      <w:rFonts w:ascii="Arial" w:hAnsi="Arial"/>
      <w:kern w:val="2"/>
    </w:rPr>
  </w:style>
  <w:style w:type="paragraph" w:styleId="Lijstalinea">
    <w:name w:val="List Paragraph"/>
    <w:basedOn w:val="Standaard"/>
    <w:unhideWhenUsed/>
    <w:rsid w:val="00DC034B"/>
    <w:pPr>
      <w:contextualSpacing/>
    </w:pPr>
  </w:style>
  <w:style w:type="paragraph" w:styleId="Titel">
    <w:name w:val="Title"/>
    <w:aliases w:val="Titel Regeling"/>
    <w:basedOn w:val="Standaard"/>
    <w:next w:val="Standaard"/>
    <w:link w:val="TitelChar"/>
    <w:uiPriority w:val="2"/>
    <w:qFormat/>
    <w:rsid w:val="00DC034B"/>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aliases w:val="Titel Regeling Char"/>
    <w:basedOn w:val="Standaardalinea-lettertype"/>
    <w:link w:val="Titel"/>
    <w:uiPriority w:val="2"/>
    <w:rsid w:val="00DC034B"/>
    <w:rPr>
      <w:rFonts w:ascii="Arial" w:eastAsiaTheme="majorEastAsia" w:hAnsi="Arial" w:cstheme="majorBidi"/>
      <w:color w:val="002C64"/>
      <w:spacing w:val="-10"/>
      <w:kern w:val="32"/>
      <w:sz w:val="60"/>
      <w:szCs w:val="56"/>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DC034B"/>
    <w:rPr>
      <w:rFonts w:cs="Segoe UI"/>
      <w:szCs w:val="18"/>
    </w:rPr>
  </w:style>
  <w:style w:type="character" w:customStyle="1" w:styleId="BallontekstChar">
    <w:name w:val="Ballontekst Char"/>
    <w:basedOn w:val="Standaardalinea-lettertype"/>
    <w:link w:val="Ballontekst"/>
    <w:semiHidden/>
    <w:rsid w:val="00DC034B"/>
    <w:rPr>
      <w:rFonts w:ascii="Arial" w:hAnsi="Arial" w:cs="Segoe UI"/>
      <w:kern w:val="2"/>
      <w:szCs w:val="18"/>
    </w:rPr>
  </w:style>
  <w:style w:type="table" w:styleId="Tabelraster">
    <w:name w:val="Table Grid"/>
    <w:basedOn w:val="Standaardtabel"/>
    <w:rsid w:val="00DC034B"/>
    <w:pPr>
      <w:spacing w:line="280" w:lineRule="atLeast"/>
    </w:pPr>
    <w:rPr>
      <w:rFonts w:ascii="Arial" w:hAnsi="Arial"/>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Webversie;titel document Char"/>
    <w:link w:val="Kop1"/>
    <w:uiPriority w:val="5"/>
    <w:rsid w:val="00DC034B"/>
    <w:rPr>
      <w:rFonts w:ascii="Arial" w:hAnsi="Arial"/>
      <w:bCs/>
      <w:color w:val="002C64"/>
      <w:kern w:val="32"/>
      <w:sz w:val="60"/>
      <w:szCs w:val="32"/>
    </w:rPr>
  </w:style>
  <w:style w:type="character" w:customStyle="1" w:styleId="Kop2Char">
    <w:name w:val="Kop 2 Char"/>
    <w:aliases w:val="Hoofdstuk Char,Kop 2 Hoofdstuktitel Char"/>
    <w:link w:val="Kop2"/>
    <w:uiPriority w:val="1"/>
    <w:rsid w:val="00DC034B"/>
    <w:rPr>
      <w:rFonts w:ascii="Arial" w:hAnsi="Arial" w:cs="Courier New"/>
      <w:color w:val="00A9F3"/>
      <w:kern w:val="2"/>
      <w:sz w:val="40"/>
      <w:szCs w:val="50"/>
    </w:rPr>
  </w:style>
  <w:style w:type="character" w:customStyle="1" w:styleId="Kop3Char">
    <w:name w:val="Kop 3 Char"/>
    <w:aliases w:val="Artikel Char,Kop 3 Paragraaftitel Char"/>
    <w:link w:val="Kop3"/>
    <w:uiPriority w:val="1"/>
    <w:rsid w:val="00DC034B"/>
    <w:rPr>
      <w:rFonts w:ascii="Arial" w:hAnsi="Arial"/>
      <w:bCs/>
      <w:color w:val="00A9F3"/>
      <w:kern w:val="2"/>
      <w:sz w:val="24"/>
      <w:szCs w:val="26"/>
    </w:rPr>
  </w:style>
  <w:style w:type="character" w:customStyle="1" w:styleId="Kop4Char">
    <w:name w:val="Kop 4 Char"/>
    <w:aliases w:val="Paragraaf Char"/>
    <w:basedOn w:val="Standaardalinea-lettertype"/>
    <w:link w:val="Kop4"/>
    <w:uiPriority w:val="1"/>
    <w:rsid w:val="00DC034B"/>
    <w:rPr>
      <w:rFonts w:ascii="Arial" w:eastAsiaTheme="majorEastAsia" w:hAnsi="Arial" w:cstheme="majorBidi"/>
      <w:b/>
      <w:iCs/>
      <w:color w:val="00A9F3"/>
      <w:kern w:val="2"/>
    </w:rPr>
  </w:style>
  <w:style w:type="character" w:customStyle="1" w:styleId="Kop5Char">
    <w:name w:val="Kop 5 Char"/>
    <w:aliases w:val="Sluiting Char"/>
    <w:basedOn w:val="Standaardalinea-lettertype"/>
    <w:link w:val="Kop5"/>
    <w:uiPriority w:val="1"/>
    <w:rsid w:val="00DC034B"/>
    <w:rPr>
      <w:rFonts w:ascii="Arial" w:eastAsiaTheme="majorEastAsia" w:hAnsi="Arial" w:cstheme="majorBidi"/>
      <w:b/>
      <w:i/>
      <w:color w:val="00A9F3"/>
      <w:kern w:val="2"/>
    </w:rPr>
  </w:style>
  <w:style w:type="character" w:customStyle="1" w:styleId="Kop6Char">
    <w:name w:val="Kop 6 Char"/>
    <w:basedOn w:val="Standaardalinea-lettertype"/>
    <w:link w:val="Kop6"/>
    <w:uiPriority w:val="1"/>
    <w:rsid w:val="00DC034B"/>
    <w:rPr>
      <w:rFonts w:ascii="Arial" w:eastAsiaTheme="majorEastAsia" w:hAnsi="Arial" w:cstheme="majorBidi"/>
      <w:i/>
      <w:color w:val="00A9F3"/>
      <w:kern w:val="2"/>
    </w:rPr>
  </w:style>
  <w:style w:type="paragraph" w:customStyle="1" w:styleId="Ondertiteldocument">
    <w:name w:val="Ondertitel document"/>
    <w:basedOn w:val="Standaard"/>
    <w:next w:val="Standaard"/>
    <w:uiPriority w:val="2"/>
    <w:qFormat/>
    <w:rsid w:val="00DC034B"/>
    <w:pPr>
      <w:spacing w:after="800" w:line="640" w:lineRule="atLeast"/>
    </w:pPr>
    <w:rPr>
      <w:color w:val="00A9F3"/>
      <w:sz w:val="48"/>
    </w:rPr>
  </w:style>
  <w:style w:type="numbering" w:customStyle="1" w:styleId="VNGGenummerdekoppen2tm6">
    <w:name w:val="VNG Genummerde koppen 2 t/m 6"/>
    <w:uiPriority w:val="99"/>
    <w:rsid w:val="00DC034B"/>
    <w:pPr>
      <w:numPr>
        <w:numId w:val="2"/>
      </w:numPr>
    </w:pPr>
  </w:style>
  <w:style w:type="table" w:styleId="Tabelrasterlicht">
    <w:name w:val="Grid Table Light"/>
    <w:basedOn w:val="Standaardtabel"/>
    <w:uiPriority w:val="40"/>
    <w:rsid w:val="00DC034B"/>
    <w:pPr>
      <w:spacing w:line="280" w:lineRule="atLeast"/>
    </w:pPr>
    <w:rPr>
      <w:rFonts w:ascii="Arial" w:hAnsi="Arial"/>
      <w:kern w:val="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C034B"/>
    <w:pPr>
      <w:spacing w:line="280" w:lineRule="atLeast"/>
    </w:pPr>
    <w:rPr>
      <w:rFonts w:ascii="Arial" w:hAnsi="Arial"/>
      <w:kern w:val="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C034B"/>
    <w:pPr>
      <w:spacing w:line="280" w:lineRule="atLeast"/>
    </w:pPr>
    <w:rPr>
      <w:rFonts w:ascii="Arial" w:hAnsi="Arial"/>
      <w:kern w:val="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DC034B"/>
    <w:pPr>
      <w:spacing w:line="280" w:lineRule="atLeast"/>
    </w:pPr>
    <w:rPr>
      <w:rFonts w:ascii="Arial" w:hAnsi="Arial"/>
      <w:kern w:val="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C034B"/>
    <w:pPr>
      <w:spacing w:line="280" w:lineRule="atLeast"/>
    </w:pPr>
    <w:rPr>
      <w:rFonts w:ascii="Arial" w:hAnsi="Arial"/>
      <w:kern w:val="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C034B"/>
    <w:pPr>
      <w:spacing w:line="280" w:lineRule="atLeast"/>
    </w:pPr>
    <w:rPr>
      <w:rFonts w:ascii="Arial" w:hAnsi="Arial"/>
      <w:kern w:val="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DC034B"/>
    <w:pPr>
      <w:keepLines/>
      <w:suppressAutoHyphens/>
      <w:spacing w:after="20" w:line="240" w:lineRule="atLeast"/>
    </w:pPr>
    <w:rPr>
      <w:rFonts w:ascii="Arial" w:hAnsi="Arial"/>
      <w:kern w:val="2"/>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DC034B"/>
    <w:pPr>
      <w:keepLines/>
      <w:suppressAutoHyphens/>
      <w:spacing w:after="20" w:line="240" w:lineRule="atLeast"/>
      <w:textboxTightWrap w:val="allLines"/>
    </w:pPr>
    <w:rPr>
      <w:rFonts w:ascii="Arial" w:hAnsi="Arial"/>
      <w:color w:val="101010"/>
      <w:kern w:val="2"/>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DC034B"/>
    <w:pPr>
      <w:spacing w:after="250" w:line="180" w:lineRule="atLeast"/>
    </w:pPr>
    <w:rPr>
      <w:sz w:val="16"/>
      <w:lang w:val="fr-FR"/>
    </w:rPr>
  </w:style>
  <w:style w:type="paragraph" w:customStyle="1" w:styleId="Uitgelichtlichtblauw">
    <w:name w:val="Uitgelicht licht blauw"/>
    <w:basedOn w:val="Uitgelichtkader"/>
    <w:next w:val="Standaard"/>
    <w:uiPriority w:val="3"/>
    <w:qFormat/>
    <w:rsid w:val="00DC034B"/>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DC034B"/>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DC034B"/>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DC034B"/>
    <w:pPr>
      <w:spacing w:line="280" w:lineRule="atLeast"/>
    </w:pPr>
    <w:rPr>
      <w:rFonts w:ascii="Arial" w:hAnsi="Arial"/>
      <w:kern w:val="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DC034B"/>
    <w:pPr>
      <w:numPr>
        <w:numId w:val="3"/>
      </w:numPr>
    </w:pPr>
  </w:style>
  <w:style w:type="numbering" w:customStyle="1" w:styleId="VNGOngenummerdelijst">
    <w:name w:val="VNG Ongenummerde lijst"/>
    <w:uiPriority w:val="99"/>
    <w:rsid w:val="00DC034B"/>
    <w:pPr>
      <w:numPr>
        <w:numId w:val="4"/>
      </w:numPr>
    </w:pPr>
  </w:style>
  <w:style w:type="paragraph" w:customStyle="1" w:styleId="Introductie">
    <w:name w:val="Introductie"/>
    <w:basedOn w:val="Standaard"/>
    <w:next w:val="Standaard"/>
    <w:uiPriority w:val="2"/>
    <w:qFormat/>
    <w:rsid w:val="00DC034B"/>
    <w:pPr>
      <w:spacing w:after="250" w:line="330" w:lineRule="atLeast"/>
    </w:pPr>
    <w:rPr>
      <w:b/>
      <w:sz w:val="24"/>
      <w:lang w:val="fr-FR"/>
    </w:rPr>
  </w:style>
  <w:style w:type="paragraph" w:customStyle="1" w:styleId="Uitgelichtoranje">
    <w:name w:val="Uitgelicht oranje"/>
    <w:basedOn w:val="Uitgelichtkader"/>
    <w:next w:val="Standaard"/>
    <w:uiPriority w:val="3"/>
    <w:qFormat/>
    <w:rsid w:val="00DC034B"/>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DC034B"/>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DC034B"/>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DC034B"/>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DC034B"/>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DC034B"/>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DC034B"/>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DC034B"/>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DC034B"/>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DC034B"/>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customStyle="1" w:styleId="Colofontekst">
    <w:name w:val="Colofontekst"/>
    <w:basedOn w:val="Standaard"/>
    <w:next w:val="Standaard"/>
    <w:uiPriority w:val="4"/>
    <w:qFormat/>
    <w:rsid w:val="00DC034B"/>
    <w:rPr>
      <w:sz w:val="18"/>
    </w:rPr>
  </w:style>
  <w:style w:type="character" w:customStyle="1" w:styleId="VoetnoottekstChar">
    <w:name w:val="Voetnoottekst Char"/>
    <w:basedOn w:val="Standaardalinea-lettertype"/>
    <w:link w:val="Voetnoottekst"/>
    <w:semiHidden/>
    <w:rsid w:val="00DC034B"/>
    <w:rPr>
      <w:rFonts w:ascii="Arial" w:hAnsi="Arial"/>
      <w:kern w:val="2"/>
    </w:rPr>
  </w:style>
  <w:style w:type="character" w:customStyle="1" w:styleId="VoettekstChar">
    <w:name w:val="Voettekst Char"/>
    <w:basedOn w:val="Standaardalinea-lettertype"/>
    <w:link w:val="Voettekst"/>
    <w:rsid w:val="00DC034B"/>
    <w:rPr>
      <w:rFonts w:ascii="Arial" w:hAnsi="Arial"/>
      <w:kern w:val="2"/>
    </w:rPr>
  </w:style>
  <w:style w:type="paragraph" w:styleId="Kopvaninhoudsopgave">
    <w:name w:val="TOC Heading"/>
    <w:basedOn w:val="Kop2"/>
    <w:next w:val="Standaard"/>
    <w:uiPriority w:val="39"/>
    <w:unhideWhenUsed/>
    <w:rsid w:val="00DC034B"/>
    <w:pPr>
      <w:keepLines/>
      <w:outlineLvl w:val="9"/>
    </w:pPr>
    <w:rPr>
      <w:rFonts w:eastAsiaTheme="majorEastAsia" w:cstheme="majorBidi"/>
      <w:bCs/>
    </w:rPr>
  </w:style>
  <w:style w:type="paragraph" w:customStyle="1" w:styleId="StijlKopvaninhoudsopgaveLatijnsArial30ptAangepastekl">
    <w:name w:val="Stijl Kop van inhoudsopgave + (Latijns) Arial 30 pt Aangepaste kl..."/>
    <w:basedOn w:val="Kopvaninhoudsopgave"/>
    <w:rsid w:val="00DC034B"/>
  </w:style>
  <w:style w:type="numbering" w:customStyle="1" w:styleId="Stijl1">
    <w:name w:val="Stijl1"/>
    <w:uiPriority w:val="99"/>
    <w:rsid w:val="00DC034B"/>
    <w:pPr>
      <w:numPr>
        <w:numId w:val="5"/>
      </w:numPr>
    </w:pPr>
  </w:style>
  <w:style w:type="character" w:customStyle="1" w:styleId="Kop7Char">
    <w:name w:val="Kop 7 Char"/>
    <w:basedOn w:val="Standaardalinea-lettertype"/>
    <w:link w:val="Kop7"/>
    <w:uiPriority w:val="1"/>
    <w:rsid w:val="00DC034B"/>
    <w:rPr>
      <w:rFonts w:ascii="Arial" w:eastAsiaTheme="majorEastAsia" w:hAnsi="Arial" w:cstheme="majorBidi"/>
      <w:iCs/>
      <w:color w:val="00A9F3"/>
      <w:kern w:val="2"/>
    </w:rPr>
  </w:style>
  <w:style w:type="character" w:customStyle="1" w:styleId="Kop8Char">
    <w:name w:val="Kop 8 Char"/>
    <w:basedOn w:val="Standaardalinea-lettertype"/>
    <w:link w:val="Kop8"/>
    <w:uiPriority w:val="1"/>
    <w:rsid w:val="00DC034B"/>
    <w:rPr>
      <w:rFonts w:ascii="Arial" w:eastAsiaTheme="majorEastAsia" w:hAnsi="Arial" w:cstheme="majorBidi"/>
      <w:color w:val="00A9F3"/>
      <w:kern w:val="2"/>
      <w:szCs w:val="21"/>
    </w:rPr>
  </w:style>
  <w:style w:type="character" w:customStyle="1" w:styleId="Kop9Char">
    <w:name w:val="Kop 9 Char"/>
    <w:basedOn w:val="Standaardalinea-lettertype"/>
    <w:link w:val="Kop9"/>
    <w:uiPriority w:val="1"/>
    <w:rsid w:val="00DC034B"/>
    <w:rPr>
      <w:rFonts w:ascii="Arial" w:eastAsiaTheme="majorEastAsia" w:hAnsi="Arial" w:cstheme="majorBidi"/>
      <w:iCs/>
      <w:color w:val="00A9F3"/>
      <w:kern w:val="2"/>
      <w:szCs w:val="21"/>
    </w:rPr>
  </w:style>
  <w:style w:type="character" w:styleId="Onopgelostemelding">
    <w:name w:val="Unresolved Mention"/>
    <w:basedOn w:val="Standaardalinea-lettertype"/>
    <w:uiPriority w:val="99"/>
    <w:semiHidden/>
    <w:unhideWhenUsed/>
    <w:rsid w:val="000E5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zoek.officielebekendmakingen.nl/kst-36429-2.html" TargetMode="External"/><Relationship Id="rId2" Type="http://schemas.openxmlformats.org/officeDocument/2006/relationships/hyperlink" Target="https://vng.nl/nieuws/update-kwijtscheldingsverzoeken-ivm-verhoging-huurtoeslag" TargetMode="External"/><Relationship Id="rId1" Type="http://schemas.openxmlformats.org/officeDocument/2006/relationships/hyperlink" Target="https://zoek.officielebekendmakingen.nl/stb-2023-494.html" TargetMode="External"/><Relationship Id="rId5" Type="http://schemas.openxmlformats.org/officeDocument/2006/relationships/hyperlink" Target="https://zoek.officielebekendmakingen.nl/stcrt-2024-14236.html" TargetMode="External"/><Relationship Id="rId4" Type="http://schemas.openxmlformats.org/officeDocument/2006/relationships/hyperlink" Target="https://zoek.officielebekendmakingen.nl/kst-36410-XV-66.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A9C2-310A-4A8A-96E9-E70D088A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958</Words>
  <Characters>5270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Rosalie van Heijst</cp:lastModifiedBy>
  <cp:revision>2</cp:revision>
  <cp:lastPrinted>2014-05-22T08:59:00Z</cp:lastPrinted>
  <dcterms:created xsi:type="dcterms:W3CDTF">2024-05-07T09:21:00Z</dcterms:created>
  <dcterms:modified xsi:type="dcterms:W3CDTF">2024-05-07T09:21:00Z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