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7358" w14:textId="77777777" w:rsidR="000B0118" w:rsidRPr="00F47F59" w:rsidRDefault="00F47F59" w:rsidP="000B0118">
      <w:pPr>
        <w:rPr>
          <w:b/>
          <w:bCs/>
        </w:rPr>
      </w:pPr>
      <w:r w:rsidRPr="00F47F59">
        <w:rPr>
          <w:rFonts w:cs="Arial"/>
          <w:b/>
        </w:rPr>
        <w:t xml:space="preserve">Was-wordt-tabel wijzigingen </w:t>
      </w:r>
      <w:r w:rsidR="000B0118" w:rsidRPr="00B473FA">
        <w:rPr>
          <w:b/>
          <w:bCs/>
        </w:rPr>
        <w:t>Model</w:t>
      </w:r>
      <w:r w:rsidR="000B0118">
        <w:rPr>
          <w:b/>
          <w:bCs/>
        </w:rPr>
        <w:t xml:space="preserve"> Leidraad invordering gemeentelijke belastingen</w:t>
      </w:r>
    </w:p>
    <w:p w14:paraId="131411E0" w14:textId="211F2A1F" w:rsidR="00F47F59" w:rsidRDefault="00971A1A" w:rsidP="00F47F59">
      <w:pPr>
        <w:rPr>
          <w:rFonts w:cs="Arial"/>
          <w:b/>
        </w:rPr>
      </w:pPr>
      <w:r>
        <w:rPr>
          <w:rFonts w:cs="Arial"/>
          <w:b/>
        </w:rPr>
        <w:t>j</w:t>
      </w:r>
      <w:r w:rsidR="0032693D">
        <w:rPr>
          <w:rFonts w:cs="Arial"/>
          <w:b/>
        </w:rPr>
        <w:t>anuari</w:t>
      </w:r>
      <w:r w:rsidR="00F47F59" w:rsidRPr="00F47F59">
        <w:rPr>
          <w:rFonts w:cs="Arial"/>
          <w:b/>
        </w:rPr>
        <w:t xml:space="preserve"> 202</w:t>
      </w:r>
      <w:r w:rsidR="00D2106B">
        <w:rPr>
          <w:rFonts w:cs="Arial"/>
          <w:b/>
        </w:rPr>
        <w:t>4</w:t>
      </w:r>
      <w:r w:rsidR="00F47F59" w:rsidRPr="00F47F59">
        <w:rPr>
          <w:rFonts w:cs="Arial"/>
          <w:b/>
        </w:rPr>
        <w:t xml:space="preserve"> </w:t>
      </w:r>
    </w:p>
    <w:p w14:paraId="1C9264D2" w14:textId="77777777" w:rsidR="00D2106B" w:rsidRPr="00F47F59" w:rsidRDefault="00D2106B" w:rsidP="00F47F59">
      <w:pPr>
        <w:rPr>
          <w:rFonts w:cs="Arial"/>
          <w:b/>
        </w:rPr>
      </w:pPr>
    </w:p>
    <w:p w14:paraId="2DC29B7E" w14:textId="77777777" w:rsidR="00D2106B" w:rsidRPr="00F47F59" w:rsidRDefault="00D2106B" w:rsidP="00D2106B">
      <w:pPr>
        <w:pBdr>
          <w:top w:val="single" w:sz="4" w:space="1" w:color="auto"/>
          <w:left w:val="single" w:sz="4" w:space="4" w:color="auto"/>
          <w:bottom w:val="single" w:sz="4" w:space="9" w:color="auto"/>
          <w:right w:val="single" w:sz="4" w:space="4" w:color="auto"/>
        </w:pBdr>
        <w:rPr>
          <w:rFonts w:cs="Arial"/>
          <w:b/>
          <w:bCs/>
        </w:rPr>
      </w:pPr>
      <w:r w:rsidRPr="00F47F59">
        <w:rPr>
          <w:rFonts w:cs="Arial"/>
          <w:b/>
          <w:bCs/>
        </w:rPr>
        <w:t>Leeswijzer modelbepalingen</w:t>
      </w:r>
    </w:p>
    <w:p w14:paraId="1DD3F389" w14:textId="77777777" w:rsidR="00D2106B" w:rsidRPr="00F47F59" w:rsidRDefault="00D2106B" w:rsidP="00D2106B">
      <w:pPr>
        <w:pBdr>
          <w:top w:val="single" w:sz="4" w:space="1" w:color="auto"/>
          <w:left w:val="single" w:sz="4" w:space="4" w:color="auto"/>
          <w:bottom w:val="single" w:sz="4" w:space="9" w:color="auto"/>
          <w:right w:val="single" w:sz="4" w:space="4" w:color="auto"/>
        </w:pBdr>
        <w:rPr>
          <w:rFonts w:cs="Arial"/>
          <w:b/>
          <w:bCs/>
        </w:rPr>
      </w:pPr>
      <w:r w:rsidRPr="00F47F59">
        <w:rPr>
          <w:rFonts w:cs="Arial"/>
        </w:rPr>
        <w:t xml:space="preserve">In de ‘bestaande tekst’ zijn de woorden en leestekens waaraan iets verandert, </w:t>
      </w:r>
      <w:r w:rsidRPr="00F47F59">
        <w:rPr>
          <w:rFonts w:cs="Arial"/>
          <w:i/>
        </w:rPr>
        <w:t>cursief</w:t>
      </w:r>
      <w:r w:rsidRPr="00F47F59">
        <w:rPr>
          <w:rFonts w:cs="Arial"/>
        </w:rPr>
        <w:t xml:space="preserve"> gezet en – als het een facultatieve bepaling betreft – ook </w:t>
      </w:r>
      <w:r w:rsidRPr="00F47F59">
        <w:rPr>
          <w:rFonts w:cs="Arial"/>
          <w:i/>
          <w:u w:val="single"/>
        </w:rPr>
        <w:t>onderstreept</w:t>
      </w:r>
      <w:r w:rsidRPr="00F47F59">
        <w:rPr>
          <w:rFonts w:cs="Arial"/>
        </w:rPr>
        <w:t xml:space="preserve"> (aangezien dan de hele bepaling cursief is in verband met het facultatieve karakter). In de ‘nieuwe tekst’ zijn de nieuwe woorden en leestekens </w:t>
      </w:r>
      <w:r w:rsidRPr="00F47F59">
        <w:rPr>
          <w:rFonts w:cs="Arial"/>
          <w:b/>
        </w:rPr>
        <w:t>vet</w:t>
      </w:r>
      <w:r w:rsidRPr="00F47F59">
        <w:rPr>
          <w:rFonts w:cs="Arial"/>
        </w:rPr>
        <w:t xml:space="preserve"> gedrukt (en </w:t>
      </w:r>
      <w:r w:rsidRPr="00F47F59">
        <w:rPr>
          <w:rFonts w:cs="Arial"/>
          <w:b/>
          <w:u w:val="single"/>
        </w:rPr>
        <w:t>onderstreept</w:t>
      </w:r>
      <w:r w:rsidRPr="00F47F59">
        <w:rPr>
          <w:rFonts w:cs="Arial"/>
        </w:rPr>
        <w:t xml:space="preserve"> in de gevallen waarin de bestaande tekst ook vetgedrukt is).</w:t>
      </w:r>
    </w:p>
    <w:tbl>
      <w:tblPr>
        <w:tblStyle w:val="VNGtabelmiddenblauw"/>
        <w:tblpPr w:leftFromText="141" w:rightFromText="141" w:vertAnchor="text" w:horzAnchor="margin" w:tblpY="562"/>
        <w:tblW w:w="9493" w:type="dxa"/>
        <w:tblLook w:val="04A0" w:firstRow="1" w:lastRow="0" w:firstColumn="1" w:lastColumn="0" w:noHBand="0" w:noVBand="1"/>
      </w:tblPr>
      <w:tblGrid>
        <w:gridCol w:w="4746"/>
        <w:gridCol w:w="4747"/>
      </w:tblGrid>
      <w:tr w:rsidR="00D2106B" w14:paraId="7A2F4BE0" w14:textId="77777777" w:rsidTr="004505A6">
        <w:trPr>
          <w:cnfStyle w:val="100000000000" w:firstRow="1" w:lastRow="0" w:firstColumn="0" w:lastColumn="0" w:oddVBand="0" w:evenVBand="0" w:oddHBand="0" w:evenHBand="0" w:firstRowFirstColumn="0" w:firstRowLastColumn="0" w:lastRowFirstColumn="0" w:lastRowLastColumn="0"/>
        </w:trPr>
        <w:tc>
          <w:tcPr>
            <w:tcW w:w="4746" w:type="dxa"/>
          </w:tcPr>
          <w:p w14:paraId="4E3D7C0D" w14:textId="22C014BC" w:rsidR="00D2106B" w:rsidRPr="00782535" w:rsidRDefault="00C76015" w:rsidP="00D2106B">
            <w:pPr>
              <w:rPr>
                <w:bCs/>
              </w:rPr>
            </w:pPr>
            <w:r>
              <w:rPr>
                <w:bCs/>
              </w:rPr>
              <w:t>Bestaand</w:t>
            </w:r>
          </w:p>
        </w:tc>
        <w:tc>
          <w:tcPr>
            <w:tcW w:w="4747" w:type="dxa"/>
          </w:tcPr>
          <w:p w14:paraId="27CCE30E" w14:textId="0902233B" w:rsidR="00D2106B" w:rsidRPr="00782535" w:rsidRDefault="00C76015" w:rsidP="00D2106B">
            <w:pPr>
              <w:rPr>
                <w:bCs/>
              </w:rPr>
            </w:pPr>
            <w:r>
              <w:rPr>
                <w:bCs/>
              </w:rPr>
              <w:t>Nieuw</w:t>
            </w:r>
          </w:p>
        </w:tc>
      </w:tr>
      <w:tr w:rsidR="00D2106B" w14:paraId="35DCDB8D" w14:textId="77777777" w:rsidTr="004505A6">
        <w:tc>
          <w:tcPr>
            <w:tcW w:w="4746" w:type="dxa"/>
          </w:tcPr>
          <w:p w14:paraId="037ECEA2" w14:textId="77777777" w:rsidR="00D2106B" w:rsidRPr="00D2106B" w:rsidRDefault="00D2106B" w:rsidP="00D2106B">
            <w:pPr>
              <w:spacing w:line="260" w:lineRule="atLeast"/>
              <w:rPr>
                <w:b/>
              </w:rPr>
            </w:pPr>
            <w:r w:rsidRPr="00D2106B">
              <w:rPr>
                <w:b/>
              </w:rPr>
              <w:t>26.2.12 Studiefinanciering en kwijtschelding voor particulieren</w:t>
            </w:r>
          </w:p>
          <w:p w14:paraId="32C9D2E0" w14:textId="77777777" w:rsidR="00D2106B" w:rsidRPr="00D2106B" w:rsidRDefault="00D2106B" w:rsidP="00D2106B">
            <w:pPr>
              <w:spacing w:line="260" w:lineRule="atLeast"/>
              <w:rPr>
                <w:bCs/>
              </w:rPr>
            </w:pPr>
            <w:r w:rsidRPr="00D2106B">
              <w:rPr>
                <w:bCs/>
              </w:rPr>
              <w:t>Bij de berekening van het netto besteedbare inkomen wordt rekening gehouden met inkomsten die studenten ontvangen op grond van de WSF en hoofdstuk 4 van de Wet tegemoetkoming onderwijsbijdrage en schoolkosten (WTOS VO-18+).</w:t>
            </w:r>
          </w:p>
          <w:p w14:paraId="03ABB3CB" w14:textId="77777777" w:rsidR="00D2106B" w:rsidRPr="00D2106B" w:rsidRDefault="00D2106B" w:rsidP="00D2106B">
            <w:pPr>
              <w:spacing w:line="260" w:lineRule="atLeast"/>
              <w:rPr>
                <w:bCs/>
              </w:rPr>
            </w:pPr>
            <w:r w:rsidRPr="00D2106B">
              <w:rPr>
                <w:bCs/>
              </w:rPr>
              <w:t>Studenten in het hoger en middelbaar beroepsonderwijs hebben recht op een normbudget voor levensonderhoud: in het kader van de kwijtscheldingsregeling is dit normbudget de optelsom van basisbeurs, maximale aanvullende beurs en maximale basislening. Daarbij wordt voor zover van toepassing rekening gehouden met het feit of de student thuiswonend, dan wel uitwonend is. In voorkomend geval wordt dit normbudget verhoogd met de één-oudertoeslag.</w:t>
            </w:r>
          </w:p>
          <w:p w14:paraId="6D1D331B" w14:textId="77777777" w:rsidR="00D2106B" w:rsidRPr="00D2106B" w:rsidRDefault="00D2106B" w:rsidP="00D2106B">
            <w:pPr>
              <w:spacing w:line="260" w:lineRule="atLeast"/>
              <w:rPr>
                <w:bCs/>
              </w:rPr>
            </w:pPr>
            <w:r w:rsidRPr="00D2106B">
              <w:rPr>
                <w:bCs/>
              </w:rPr>
              <w:t>De inkomsten van een student worden gesteld op een forfaitair bedrag.</w:t>
            </w:r>
          </w:p>
          <w:p w14:paraId="143E9423" w14:textId="77777777" w:rsidR="00D2106B" w:rsidRPr="00D2106B" w:rsidRDefault="00D2106B" w:rsidP="00D2106B">
            <w:pPr>
              <w:spacing w:line="260" w:lineRule="atLeast"/>
              <w:rPr>
                <w:bCs/>
              </w:rPr>
            </w:pPr>
            <w:r w:rsidRPr="00D2106B">
              <w:rPr>
                <w:bCs/>
              </w:rPr>
              <w:t xml:space="preserve">A. Voor studenten in het hoger onderwijs is dit het bedrag voor het normbudget voor levensonderhoud verminderd met een forfaitair bedrag voor boeken en leermiddelen groot € </w:t>
            </w:r>
            <w:r w:rsidRPr="00D2106B">
              <w:rPr>
                <w:bCs/>
                <w:i/>
                <w:iCs/>
              </w:rPr>
              <w:t>67</w:t>
            </w:r>
            <w:r w:rsidRPr="00D2106B">
              <w:rPr>
                <w:bCs/>
              </w:rPr>
              <w:t>.</w:t>
            </w:r>
          </w:p>
          <w:p w14:paraId="3FC5C9F9" w14:textId="77777777" w:rsidR="00D2106B" w:rsidRDefault="00D2106B" w:rsidP="00D2106B">
            <w:pPr>
              <w:spacing w:after="0" w:line="260" w:lineRule="atLeast"/>
              <w:rPr>
                <w:bCs/>
              </w:rPr>
            </w:pPr>
            <w:r w:rsidRPr="00D2106B">
              <w:rPr>
                <w:bCs/>
              </w:rPr>
              <w:t xml:space="preserve">B. Voor studenten in het middelbaar beroepsonderwijs is dit het bedrag voor het normbudget voor levensonderhoud verminderd met een forfaitair bedrag voor boeken en leermiddelen groot </w:t>
            </w:r>
          </w:p>
          <w:p w14:paraId="21E22555" w14:textId="77777777" w:rsidR="00D2106B" w:rsidRPr="00D2106B" w:rsidRDefault="00D2106B" w:rsidP="00D2106B">
            <w:pPr>
              <w:spacing w:line="260" w:lineRule="atLeast"/>
              <w:rPr>
                <w:bCs/>
              </w:rPr>
            </w:pPr>
            <w:r w:rsidRPr="00D2106B">
              <w:rPr>
                <w:bCs/>
              </w:rPr>
              <w:t xml:space="preserve">€ </w:t>
            </w:r>
            <w:r w:rsidRPr="00D2106B">
              <w:rPr>
                <w:bCs/>
                <w:i/>
                <w:iCs/>
              </w:rPr>
              <w:t>60</w:t>
            </w:r>
            <w:r w:rsidRPr="00D2106B">
              <w:rPr>
                <w:bCs/>
              </w:rPr>
              <w:t xml:space="preserve"> en met het bedrag aan onderwijsretributie.</w:t>
            </w:r>
          </w:p>
          <w:p w14:paraId="7BBEF97A" w14:textId="77777777" w:rsidR="00D2106B" w:rsidRPr="00D2106B" w:rsidRDefault="00D2106B" w:rsidP="00D2106B">
            <w:pPr>
              <w:spacing w:line="260" w:lineRule="atLeast"/>
              <w:rPr>
                <w:bCs/>
              </w:rPr>
            </w:pPr>
            <w:r w:rsidRPr="00D2106B">
              <w:rPr>
                <w:bCs/>
              </w:rPr>
              <w:t>Als de belastingschuldige naast studiefinanciering beschikt over eigen inkomsten wordt eveneens uitgegaan van de forfaitaire inkomsten, zoals hiervoor berekend onder A en B.</w:t>
            </w:r>
          </w:p>
          <w:p w14:paraId="6875C816" w14:textId="77777777" w:rsidR="00D2106B" w:rsidRPr="00D2106B" w:rsidRDefault="00D2106B" w:rsidP="00D2106B">
            <w:pPr>
              <w:spacing w:line="260" w:lineRule="atLeast"/>
              <w:rPr>
                <w:bCs/>
              </w:rPr>
            </w:pPr>
            <w:r w:rsidRPr="00D2106B">
              <w:rPr>
                <w:bCs/>
              </w:rPr>
              <w:t>Als de daadwerkelijk genoten studiefinanciering (exclusief het ontvangen collegegeldkrediet voor studenten in het hoger onderwijs) en de eigen inkomsten uitstijgen boven de voor het desbetreffende huishoudtype maximaal geldende kosten van bestaan wordt om de betalingscapaciteit te kunnen berekenen de navolgende formules gebruikt:</w:t>
            </w:r>
          </w:p>
          <w:p w14:paraId="0989DD1F" w14:textId="77777777" w:rsidR="00D2106B" w:rsidRPr="00D2106B" w:rsidRDefault="00D2106B" w:rsidP="00D2106B">
            <w:pPr>
              <w:spacing w:line="260" w:lineRule="atLeast"/>
              <w:rPr>
                <w:bCs/>
              </w:rPr>
            </w:pPr>
          </w:p>
          <w:p w14:paraId="08F49BAC" w14:textId="77777777" w:rsidR="00D2106B" w:rsidRPr="00D2106B" w:rsidRDefault="00D2106B" w:rsidP="00D2106B">
            <w:pPr>
              <w:spacing w:line="260" w:lineRule="atLeast"/>
              <w:rPr>
                <w:bCs/>
              </w:rPr>
            </w:pPr>
            <w:r w:rsidRPr="00D2106B">
              <w:rPr>
                <w:bCs/>
              </w:rPr>
              <w:t>Formule 1: (P + Q) – R – S = X</w:t>
            </w:r>
          </w:p>
          <w:p w14:paraId="2B04CBCF" w14:textId="77777777" w:rsidR="00D2106B" w:rsidRPr="00D2106B" w:rsidRDefault="00D2106B" w:rsidP="00D2106B">
            <w:pPr>
              <w:spacing w:line="260" w:lineRule="atLeast"/>
              <w:rPr>
                <w:bCs/>
              </w:rPr>
            </w:pPr>
            <w:r w:rsidRPr="00D2106B">
              <w:rPr>
                <w:bCs/>
              </w:rPr>
              <w:lastRenderedPageBreak/>
              <w:t xml:space="preserve">In deze formule wordt met P aangegeven het totaal van de daadwerkelijk genoten studiefinanciering (exclusief het ontvangen collegegeldkrediet voor studenten in het hoger onderwijs). Het totaal van de eigen inkomsten wordt aangegeven met Q. Met R wordt aangegeven het voor de kwijtschelding geldende normbudget voor levensonderhoud. Het in mindering te brengen bedrag van de daadwerkelijk ontvangen lening van de </w:t>
            </w:r>
            <w:proofErr w:type="spellStart"/>
            <w:r w:rsidRPr="00D2106B">
              <w:rPr>
                <w:bCs/>
              </w:rPr>
              <w:t>IB-groep</w:t>
            </w:r>
            <w:proofErr w:type="spellEnd"/>
            <w:r w:rsidRPr="00D2106B">
              <w:rPr>
                <w:bCs/>
              </w:rPr>
              <w:t xml:space="preserve"> wordt aangeduid met S. De uitkomst van deze berekening wordt aangegeven met X, met dien verstande dat X altijd tenminste nul bedraagt.</w:t>
            </w:r>
          </w:p>
          <w:p w14:paraId="720B921F" w14:textId="77777777" w:rsidR="00D2106B" w:rsidRPr="00D2106B" w:rsidRDefault="00D2106B" w:rsidP="00D2106B">
            <w:pPr>
              <w:spacing w:line="260" w:lineRule="atLeast"/>
              <w:rPr>
                <w:bCs/>
              </w:rPr>
            </w:pPr>
          </w:p>
          <w:p w14:paraId="40F1ABDE" w14:textId="77777777" w:rsidR="00D2106B" w:rsidRPr="00D2106B" w:rsidRDefault="00D2106B" w:rsidP="00D2106B">
            <w:pPr>
              <w:spacing w:line="260" w:lineRule="atLeast"/>
              <w:rPr>
                <w:bCs/>
              </w:rPr>
            </w:pPr>
            <w:r w:rsidRPr="00D2106B">
              <w:rPr>
                <w:bCs/>
              </w:rPr>
              <w:t>Formule 2: X + Y = T</w:t>
            </w:r>
          </w:p>
          <w:p w14:paraId="125B4030" w14:textId="77777777" w:rsidR="00D2106B" w:rsidRPr="00D2106B" w:rsidRDefault="00D2106B" w:rsidP="00D2106B">
            <w:pPr>
              <w:spacing w:line="260" w:lineRule="atLeast"/>
              <w:rPr>
                <w:bCs/>
              </w:rPr>
            </w:pPr>
            <w:r w:rsidRPr="00D2106B">
              <w:rPr>
                <w:bCs/>
              </w:rPr>
              <w:t>In deze formule wordt met Y aangegeven het forfaitaire bedrag aan inkomsten van de betreffende student zoals bedoeld onder A of B. Het resultaat van de berekening volgens formule 1 (X) vermeerderd met Y is het inkomen (T). Dit inkomen vormt vervolgens het uitgangspunt om het netto-besteedbaar inkomen te kunnen berekenen en de betalingscapaciteit.</w:t>
            </w:r>
          </w:p>
          <w:p w14:paraId="51BA316D" w14:textId="77777777" w:rsidR="00D2106B" w:rsidRPr="00782535" w:rsidRDefault="00D2106B" w:rsidP="00D2106B">
            <w:pPr>
              <w:spacing w:after="0" w:line="260" w:lineRule="atLeast"/>
              <w:rPr>
                <w:bCs/>
              </w:rPr>
            </w:pPr>
            <w:r w:rsidRPr="00D2106B">
              <w:rPr>
                <w:bCs/>
              </w:rPr>
              <w:t xml:space="preserve">In sommige gevallen bestaat de studiefinanciering voor een groot deel of zelfs geheel uit een lening. In die situaties wordt ook uitgegaan van de </w:t>
            </w:r>
            <w:proofErr w:type="spellStart"/>
            <w:r w:rsidRPr="00D2106B">
              <w:rPr>
                <w:bCs/>
              </w:rPr>
              <w:t>vorenvermelde</w:t>
            </w:r>
            <w:proofErr w:type="spellEnd"/>
            <w:r w:rsidRPr="00D2106B">
              <w:rPr>
                <w:bCs/>
              </w:rPr>
              <w:t xml:space="preserve"> forfaitaire inkomsten en is hetgeen in dit artikel is vermeld van overeenkomstige toepassing.</w:t>
            </w:r>
          </w:p>
        </w:tc>
        <w:tc>
          <w:tcPr>
            <w:tcW w:w="4747" w:type="dxa"/>
          </w:tcPr>
          <w:p w14:paraId="6F070114" w14:textId="77777777" w:rsidR="00D2106B" w:rsidRPr="00BB3A42" w:rsidRDefault="00D2106B" w:rsidP="00D2106B">
            <w:pPr>
              <w:spacing w:after="0" w:line="260" w:lineRule="atLeast"/>
              <w:rPr>
                <w:b/>
              </w:rPr>
            </w:pPr>
            <w:r w:rsidRPr="00BB3A42">
              <w:rPr>
                <w:b/>
              </w:rPr>
              <w:lastRenderedPageBreak/>
              <w:t>26.2.12 Studiefinanciering en kwijtschelding voor particulieren</w:t>
            </w:r>
          </w:p>
          <w:p w14:paraId="7AC15E56" w14:textId="77777777" w:rsidR="00D2106B" w:rsidRPr="00911C18" w:rsidRDefault="00D2106B" w:rsidP="00D2106B">
            <w:pPr>
              <w:spacing w:after="0" w:line="260" w:lineRule="atLeast"/>
            </w:pPr>
            <w:r w:rsidRPr="00911C18">
              <w:t>Bij de berekening van het netto besteedbare inkomen wordt rekening gehouden met inkomsten die studenten ontvangen op grond van de WSF en hoofdstuk 4 van de Wet tegemoetkoming onderwijsbijdrage en schoolkosten (WTOS VO-18+).</w:t>
            </w:r>
          </w:p>
          <w:p w14:paraId="674D1608" w14:textId="77777777" w:rsidR="00D2106B" w:rsidRPr="00911C18" w:rsidRDefault="00D2106B" w:rsidP="00D2106B">
            <w:pPr>
              <w:spacing w:after="0" w:line="260" w:lineRule="atLeast"/>
            </w:pPr>
            <w:r w:rsidRPr="00911C18">
              <w:t>Studenten in het hoger en middelbaar beroepsonderwijs hebben recht op een normbudget voor levensonderhoud: in het kader van de kwijtscheldingsregeling is dit normbudget de optelsom van basisbeurs, maximale aanvullende beurs en maximale basislening. Daarbij wordt voor zover van toepassing rekening gehouden met het feit of de student thuiswonend, dan wel uitwonend is. In voorkomend geval wordt dit normbudget verhoogd met de één-oudertoeslag.</w:t>
            </w:r>
          </w:p>
          <w:p w14:paraId="13531670" w14:textId="77777777" w:rsidR="00D2106B" w:rsidRPr="00911C18" w:rsidRDefault="00D2106B" w:rsidP="00D2106B">
            <w:pPr>
              <w:spacing w:after="0" w:line="260" w:lineRule="atLeast"/>
            </w:pPr>
            <w:r w:rsidRPr="00911C18">
              <w:t>De inkomsten van een student worden gesteld op een forfaitair bedrag.</w:t>
            </w:r>
          </w:p>
          <w:p w14:paraId="75907EE1" w14:textId="77777777" w:rsidR="00D2106B" w:rsidRPr="00911C18" w:rsidRDefault="00D2106B" w:rsidP="00D2106B">
            <w:pPr>
              <w:spacing w:after="0" w:line="260" w:lineRule="atLeast"/>
              <w:rPr>
                <w:color w:val="FFFFFF"/>
              </w:rPr>
            </w:pPr>
            <w:r w:rsidRPr="00911C18">
              <w:rPr>
                <w:rStyle w:val="ol"/>
                <w:rFonts w:ascii="Calibri" w:hAnsi="Calibri"/>
                <w:color w:val="000000"/>
              </w:rPr>
              <w:t xml:space="preserve">A. </w:t>
            </w:r>
            <w:r w:rsidRPr="00911C18">
              <w:t>Voor studenten in het hoger onderwijs is dit het bedrag voor het normbudget voor levensonderhoud verminderd met een forfaitair bedrag voor boeken en leermiddelen groot € </w:t>
            </w:r>
            <w:r w:rsidRPr="00D2106B">
              <w:rPr>
                <w:b/>
                <w:bCs/>
              </w:rPr>
              <w:t>86</w:t>
            </w:r>
            <w:r w:rsidRPr="00911C18">
              <w:t>.</w:t>
            </w:r>
          </w:p>
          <w:p w14:paraId="436086C8" w14:textId="77777777" w:rsidR="00D2106B" w:rsidRPr="00911C18" w:rsidRDefault="00D2106B" w:rsidP="00D2106B">
            <w:pPr>
              <w:spacing w:after="0" w:line="260" w:lineRule="atLeast"/>
              <w:rPr>
                <w:color w:val="FFFFFF"/>
              </w:rPr>
            </w:pPr>
            <w:r w:rsidRPr="00911C18">
              <w:rPr>
                <w:rStyle w:val="ol"/>
                <w:rFonts w:ascii="Calibri" w:hAnsi="Calibri"/>
                <w:color w:val="000000"/>
              </w:rPr>
              <w:t xml:space="preserve">B. </w:t>
            </w:r>
            <w:r w:rsidRPr="00911C18">
              <w:t>Voor studenten in het middelbaar beroepsonderwijs is dit het bedrag voor het normbudget voor levensonderhoud verminderd met een forfaitair bedrag voor boeken en leermiddelen groot € </w:t>
            </w:r>
            <w:r w:rsidRPr="00D2106B">
              <w:rPr>
                <w:b/>
                <w:bCs/>
              </w:rPr>
              <w:t>66</w:t>
            </w:r>
            <w:r w:rsidRPr="00911C18">
              <w:t xml:space="preserve"> en met het bedrag aan onderwijsretributie.</w:t>
            </w:r>
          </w:p>
          <w:p w14:paraId="691F8909" w14:textId="77777777" w:rsidR="00D2106B" w:rsidRPr="00911C18" w:rsidRDefault="00D2106B" w:rsidP="00D2106B">
            <w:pPr>
              <w:spacing w:after="0" w:line="260" w:lineRule="atLeast"/>
            </w:pPr>
            <w:r w:rsidRPr="00911C18">
              <w:t>Als de belastingschuldige naast studiefinanciering beschikt over eigen inkomsten wordt eveneens uitgegaan van de forfaitaire inkomsten, zoals hiervoor berekend onder A en B.</w:t>
            </w:r>
          </w:p>
          <w:p w14:paraId="79D90B10" w14:textId="77777777" w:rsidR="00D2106B" w:rsidRPr="00911C18" w:rsidRDefault="00D2106B" w:rsidP="00D2106B">
            <w:pPr>
              <w:spacing w:after="0" w:line="260" w:lineRule="atLeast"/>
            </w:pPr>
            <w:r w:rsidRPr="00911C18">
              <w:t>Als de daadwerkelijk genoten studiefinanciering (exclusief het ontvangen collegegeldkrediet voor studenten in het hoger onderwijs) en de eigen inkomsten uitstijgen boven de voor het desbetreffende huishoudtype maximaal geldende kosten van bestaan wordt om de betalingscapaciteit te kunnen berekenen de navolgende formules gebruikt:</w:t>
            </w:r>
          </w:p>
          <w:p w14:paraId="168A5B21" w14:textId="77777777" w:rsidR="00D2106B" w:rsidRDefault="00D2106B" w:rsidP="00D2106B">
            <w:pPr>
              <w:spacing w:after="0" w:line="260" w:lineRule="atLeast"/>
            </w:pPr>
          </w:p>
          <w:p w14:paraId="54D6AD45" w14:textId="77777777" w:rsidR="00D2106B" w:rsidRPr="00911C18" w:rsidRDefault="00D2106B" w:rsidP="00D2106B">
            <w:pPr>
              <w:spacing w:after="0" w:line="260" w:lineRule="atLeast"/>
            </w:pPr>
            <w:r w:rsidRPr="00911C18">
              <w:t>Formule 1: (P + Q) – R – S = X</w:t>
            </w:r>
          </w:p>
          <w:p w14:paraId="4AC21751" w14:textId="77777777" w:rsidR="00D2106B" w:rsidRPr="00911C18" w:rsidRDefault="00D2106B" w:rsidP="00D2106B">
            <w:pPr>
              <w:spacing w:after="0" w:line="260" w:lineRule="atLeast"/>
            </w:pPr>
            <w:r w:rsidRPr="00911C18">
              <w:t xml:space="preserve">In deze formule wordt met P aangegeven het totaal van de daadwerkelijk genoten studiefinanciering (exclusief het </w:t>
            </w:r>
            <w:r w:rsidRPr="00911C18">
              <w:lastRenderedPageBreak/>
              <w:t xml:space="preserve">ontvangen collegegeldkrediet voor studenten in het hoger onderwijs). Het totaal van de eigen inkomsten wordt aangegeven met Q. Met R wordt aangegeven het voor de kwijtschelding geldende normbudget voor levensonderhoud. Het in mindering te brengen bedrag van de daadwerkelijk ontvangen lening van de </w:t>
            </w:r>
            <w:proofErr w:type="spellStart"/>
            <w:r w:rsidRPr="00911C18">
              <w:t>IB-groep</w:t>
            </w:r>
            <w:proofErr w:type="spellEnd"/>
            <w:r w:rsidRPr="00911C18">
              <w:t xml:space="preserve"> wordt aangeduid met S. De uitkomst van deze berekening wordt aangegeven met X, met dien verstande dat X altijd tenminste nul bedraagt.</w:t>
            </w:r>
          </w:p>
          <w:p w14:paraId="130563CF" w14:textId="77777777" w:rsidR="00D2106B" w:rsidRDefault="00D2106B" w:rsidP="00D2106B">
            <w:pPr>
              <w:spacing w:after="0" w:line="260" w:lineRule="atLeast"/>
            </w:pPr>
          </w:p>
          <w:p w14:paraId="50D2A675" w14:textId="77777777" w:rsidR="00D2106B" w:rsidRPr="00911C18" w:rsidRDefault="00D2106B" w:rsidP="00D2106B">
            <w:pPr>
              <w:spacing w:after="0" w:line="260" w:lineRule="atLeast"/>
            </w:pPr>
            <w:r w:rsidRPr="00911C18">
              <w:t>Formule 2: X + Y = T</w:t>
            </w:r>
          </w:p>
          <w:p w14:paraId="3C48C16D" w14:textId="77777777" w:rsidR="00D2106B" w:rsidRPr="00911C18" w:rsidRDefault="00D2106B" w:rsidP="00D2106B">
            <w:pPr>
              <w:spacing w:after="0" w:line="260" w:lineRule="atLeast"/>
            </w:pPr>
            <w:r w:rsidRPr="00911C18">
              <w:t>In deze formule wordt met Y aangegeven het forfaitaire bedrag aan inkomsten van de betreffende student zoals bedoeld onder A of B. Het resultaat van de berekening volgens formule 1 (X) vermeerderd met Y is het inkomen (T). Dit inkomen vormt vervolgens het uitgangspunt om het netto-besteedbaar inkomen te kunnen berekenen en de betalingscapaciteit.</w:t>
            </w:r>
          </w:p>
          <w:p w14:paraId="1718AAF0" w14:textId="77777777" w:rsidR="00D2106B" w:rsidRDefault="00D2106B" w:rsidP="00D2106B">
            <w:pPr>
              <w:spacing w:after="0" w:line="260" w:lineRule="atLeast"/>
            </w:pPr>
            <w:r w:rsidRPr="00911C18">
              <w:t xml:space="preserve">In sommige gevallen bestaat de studiefinanciering voor een groot deel of zelfs geheel uit een lening. In die situaties wordt ook uitgegaan van de </w:t>
            </w:r>
            <w:proofErr w:type="spellStart"/>
            <w:r w:rsidRPr="00911C18">
              <w:t>vorenvermelde</w:t>
            </w:r>
            <w:proofErr w:type="spellEnd"/>
            <w:r w:rsidRPr="00911C18">
              <w:t xml:space="preserve"> forfaitaire inkomsten en is hetgeen in dit artikel is vermeld van overeenkomstige toepassing.</w:t>
            </w:r>
          </w:p>
          <w:p w14:paraId="5576490A" w14:textId="4FD15FCE" w:rsidR="00D2106B" w:rsidRPr="00782535" w:rsidRDefault="00D2106B" w:rsidP="00D2106B">
            <w:pPr>
              <w:spacing w:after="0" w:line="260" w:lineRule="atLeast"/>
              <w:rPr>
                <w:bCs/>
              </w:rPr>
            </w:pPr>
          </w:p>
        </w:tc>
      </w:tr>
      <w:tr w:rsidR="00D2106B" w14:paraId="7A66E434" w14:textId="77777777" w:rsidTr="004505A6">
        <w:tc>
          <w:tcPr>
            <w:tcW w:w="4746" w:type="dxa"/>
          </w:tcPr>
          <w:p w14:paraId="6D6C9B0F" w14:textId="77777777" w:rsidR="00D2106B" w:rsidRPr="00D2106B" w:rsidRDefault="00D2106B" w:rsidP="00D2106B">
            <w:pPr>
              <w:spacing w:line="260" w:lineRule="atLeast"/>
              <w:rPr>
                <w:b/>
              </w:rPr>
            </w:pPr>
            <w:r w:rsidRPr="00D2106B">
              <w:rPr>
                <w:b/>
              </w:rPr>
              <w:lastRenderedPageBreak/>
              <w:t>26.2.19 Normpremie zorgverzekering begrepen in de bijstandsuitkering</w:t>
            </w:r>
          </w:p>
          <w:p w14:paraId="7A858F66" w14:textId="1E3FCA66" w:rsidR="00D2106B" w:rsidRPr="00D2106B" w:rsidRDefault="00D2106B" w:rsidP="00D2106B">
            <w:pPr>
              <w:spacing w:line="260" w:lineRule="atLeast"/>
              <w:rPr>
                <w:bCs/>
              </w:rPr>
            </w:pPr>
            <w:r w:rsidRPr="00D2106B">
              <w:rPr>
                <w:bCs/>
              </w:rPr>
              <w:t>De normpremie, bedoeld in artikel 2 van de Wet op de zorgtoeslag, voor zover is begrepen in de bijstandsnorm, bedraagt voor een alleenstaande of een alleenstaande ouder</w:t>
            </w:r>
            <w:r>
              <w:rPr>
                <w:bCs/>
              </w:rPr>
              <w:t xml:space="preserve">   </w:t>
            </w:r>
            <w:r w:rsidRPr="00D2106B">
              <w:rPr>
                <w:bCs/>
              </w:rPr>
              <w:t xml:space="preserve">€ </w:t>
            </w:r>
            <w:r w:rsidRPr="00D2106B">
              <w:rPr>
                <w:bCs/>
                <w:i/>
                <w:iCs/>
              </w:rPr>
              <w:t>3</w:t>
            </w:r>
            <w:r w:rsidRPr="00D2106B">
              <w:rPr>
                <w:bCs/>
              </w:rPr>
              <w:t xml:space="preserve"> per maand en voor echtgenoten € </w:t>
            </w:r>
            <w:r w:rsidRPr="004505A6">
              <w:rPr>
                <w:bCs/>
                <w:i/>
                <w:iCs/>
              </w:rPr>
              <w:t>50</w:t>
            </w:r>
            <w:r w:rsidRPr="00D2106B">
              <w:rPr>
                <w:bCs/>
              </w:rPr>
              <w:t xml:space="preserve"> per maand.</w:t>
            </w:r>
          </w:p>
          <w:p w14:paraId="74DF7EAB" w14:textId="77777777" w:rsidR="00D2106B" w:rsidRPr="00782535" w:rsidRDefault="00D2106B" w:rsidP="00D2106B">
            <w:pPr>
              <w:spacing w:line="260" w:lineRule="atLeast"/>
              <w:rPr>
                <w:bCs/>
              </w:rPr>
            </w:pPr>
          </w:p>
        </w:tc>
        <w:tc>
          <w:tcPr>
            <w:tcW w:w="4747" w:type="dxa"/>
          </w:tcPr>
          <w:p w14:paraId="758B957A" w14:textId="77777777" w:rsidR="00D2106B" w:rsidRPr="00D2106B" w:rsidRDefault="00D2106B" w:rsidP="00D2106B">
            <w:pPr>
              <w:spacing w:line="260" w:lineRule="atLeast"/>
              <w:rPr>
                <w:b/>
              </w:rPr>
            </w:pPr>
            <w:r w:rsidRPr="00D2106B">
              <w:rPr>
                <w:b/>
              </w:rPr>
              <w:t>26.2.19 Normpremie zorgverzekering begrepen in de bijstandsuitkering</w:t>
            </w:r>
          </w:p>
          <w:p w14:paraId="06F26F25" w14:textId="4F286370" w:rsidR="00D2106B" w:rsidRPr="00D2106B" w:rsidRDefault="00D2106B" w:rsidP="00D2106B">
            <w:pPr>
              <w:spacing w:line="260" w:lineRule="atLeast"/>
              <w:rPr>
                <w:bCs/>
              </w:rPr>
            </w:pPr>
            <w:r w:rsidRPr="00D2106B">
              <w:rPr>
                <w:bCs/>
              </w:rPr>
              <w:t xml:space="preserve">De normpremie, bedoeld in artikel 2 van de Wet op de zorgtoeslag, voor zover is begrepen in de bijstandsnorm, bedraagt voor een alleenstaande of een alleenstaande ouder </w:t>
            </w:r>
            <w:r w:rsidR="004505A6">
              <w:rPr>
                <w:bCs/>
              </w:rPr>
              <w:t xml:space="preserve">  </w:t>
            </w:r>
            <w:r w:rsidRPr="00D2106B">
              <w:rPr>
                <w:bCs/>
              </w:rPr>
              <w:t xml:space="preserve">€ </w:t>
            </w:r>
            <w:r w:rsidRPr="004505A6">
              <w:rPr>
                <w:b/>
              </w:rPr>
              <w:t>42</w:t>
            </w:r>
            <w:r w:rsidRPr="00D2106B">
              <w:rPr>
                <w:bCs/>
              </w:rPr>
              <w:t xml:space="preserve"> per maand en voor echtgenoten € </w:t>
            </w:r>
            <w:r w:rsidRPr="004505A6">
              <w:rPr>
                <w:b/>
              </w:rPr>
              <w:t>95</w:t>
            </w:r>
            <w:r w:rsidRPr="00D2106B">
              <w:rPr>
                <w:bCs/>
              </w:rPr>
              <w:t xml:space="preserve"> per maand.</w:t>
            </w:r>
          </w:p>
          <w:p w14:paraId="3D0B6D24" w14:textId="77777777" w:rsidR="00D2106B" w:rsidRPr="00782535" w:rsidRDefault="00D2106B" w:rsidP="00D2106B">
            <w:pPr>
              <w:spacing w:line="260" w:lineRule="atLeast"/>
              <w:rPr>
                <w:bCs/>
              </w:rPr>
            </w:pPr>
          </w:p>
        </w:tc>
      </w:tr>
      <w:tr w:rsidR="00D2106B" w14:paraId="2A792C30" w14:textId="77777777" w:rsidTr="004505A6">
        <w:tc>
          <w:tcPr>
            <w:tcW w:w="4746" w:type="dxa"/>
          </w:tcPr>
          <w:p w14:paraId="10C949D2" w14:textId="77777777" w:rsidR="004505A6" w:rsidRPr="004505A6" w:rsidRDefault="004505A6" w:rsidP="004505A6">
            <w:pPr>
              <w:spacing w:line="260" w:lineRule="atLeast"/>
              <w:rPr>
                <w:b/>
                <w:i/>
                <w:iCs/>
              </w:rPr>
            </w:pPr>
            <w:r w:rsidRPr="004505A6">
              <w:rPr>
                <w:b/>
              </w:rPr>
              <w:t>58.2</w:t>
            </w:r>
            <w:r w:rsidRPr="004505A6">
              <w:rPr>
                <w:b/>
                <w:i/>
                <w:iCs/>
              </w:rPr>
              <w:t xml:space="preserve"> Gegevens voor invordering van ‘eigen’ belastingschulden</w:t>
            </w:r>
          </w:p>
          <w:p w14:paraId="1521C8BF" w14:textId="77777777" w:rsidR="004505A6" w:rsidRPr="004505A6" w:rsidRDefault="004505A6" w:rsidP="004505A6">
            <w:pPr>
              <w:spacing w:line="260" w:lineRule="atLeast"/>
              <w:rPr>
                <w:bCs/>
                <w:i/>
                <w:iCs/>
              </w:rPr>
            </w:pPr>
            <w:r w:rsidRPr="004505A6">
              <w:rPr>
                <w:bCs/>
                <w:i/>
                <w:iCs/>
              </w:rPr>
              <w:t>Onder gegevens die voor de invordering van de ‘eigen’ belastingschulden van de belastingschuldige van belang zijn, vallen ook de gegevens die de ontvanger nodig heeft om te beoordelen of hij mogelijk derden aansprakelijk kan stellen.</w:t>
            </w:r>
          </w:p>
          <w:p w14:paraId="584D8ED5" w14:textId="7B80BCCF" w:rsidR="00D2106B" w:rsidRPr="00782535" w:rsidRDefault="00D2106B" w:rsidP="004505A6">
            <w:pPr>
              <w:spacing w:line="260" w:lineRule="atLeast"/>
              <w:rPr>
                <w:bCs/>
              </w:rPr>
            </w:pPr>
          </w:p>
        </w:tc>
        <w:tc>
          <w:tcPr>
            <w:tcW w:w="4747" w:type="dxa"/>
          </w:tcPr>
          <w:p w14:paraId="49A38EFF" w14:textId="77777777" w:rsidR="00D2106B" w:rsidRDefault="004505A6" w:rsidP="00D2106B">
            <w:pPr>
              <w:spacing w:line="260" w:lineRule="atLeast"/>
              <w:rPr>
                <w:b/>
              </w:rPr>
            </w:pPr>
            <w:r w:rsidRPr="004505A6">
              <w:rPr>
                <w:b/>
              </w:rPr>
              <w:t>58.2</w:t>
            </w:r>
          </w:p>
          <w:p w14:paraId="326D699B" w14:textId="22B19C83" w:rsidR="004505A6" w:rsidRPr="004505A6" w:rsidRDefault="004505A6" w:rsidP="00D2106B">
            <w:pPr>
              <w:spacing w:line="260" w:lineRule="atLeast"/>
              <w:rPr>
                <w:b/>
                <w:i/>
                <w:iCs/>
              </w:rPr>
            </w:pPr>
            <w:r w:rsidRPr="004505A6">
              <w:rPr>
                <w:b/>
                <w:i/>
                <w:iCs/>
              </w:rPr>
              <w:t>(Vervallen)</w:t>
            </w:r>
          </w:p>
        </w:tc>
      </w:tr>
      <w:tr w:rsidR="00D2106B" w14:paraId="06F0D644" w14:textId="77777777" w:rsidTr="004505A6">
        <w:tc>
          <w:tcPr>
            <w:tcW w:w="4746" w:type="dxa"/>
          </w:tcPr>
          <w:p w14:paraId="05A0EEDB" w14:textId="79D3C7CF" w:rsidR="00D2106B" w:rsidRPr="00782535" w:rsidRDefault="004505A6" w:rsidP="004505A6">
            <w:pPr>
              <w:rPr>
                <w:bCs/>
              </w:rPr>
            </w:pPr>
            <w:r w:rsidRPr="00AD0F8B">
              <w:rPr>
                <w:b/>
              </w:rPr>
              <w:t xml:space="preserve">63b.3 </w:t>
            </w:r>
            <w:r w:rsidRPr="004505A6">
              <w:rPr>
                <w:b/>
                <w:i/>
                <w:iCs/>
              </w:rPr>
              <w:t>Verplichting toe te laten dat kopieën e.d. worden gemaakt</w:t>
            </w:r>
            <w:r>
              <w:rPr>
                <w:b/>
              </w:rPr>
              <w:t xml:space="preserve"> </w:t>
            </w:r>
          </w:p>
        </w:tc>
        <w:tc>
          <w:tcPr>
            <w:tcW w:w="4747" w:type="dxa"/>
          </w:tcPr>
          <w:p w14:paraId="30CDBB25" w14:textId="651BE2AC" w:rsidR="004505A6" w:rsidRPr="004505A6" w:rsidRDefault="004505A6" w:rsidP="004505A6">
            <w:pPr>
              <w:rPr>
                <w:b/>
                <w:u w:val="single"/>
              </w:rPr>
            </w:pPr>
            <w:r w:rsidRPr="00AD0F8B">
              <w:rPr>
                <w:b/>
              </w:rPr>
              <w:t xml:space="preserve">63b.3 </w:t>
            </w:r>
            <w:r>
              <w:t xml:space="preserve"> </w:t>
            </w:r>
            <w:r w:rsidRPr="004505A6">
              <w:rPr>
                <w:b/>
                <w:u w:val="single"/>
              </w:rPr>
              <w:t>Verzuimboete bij niet nakomen verplichting artikel 60, tweede lid van de wet</w:t>
            </w:r>
          </w:p>
          <w:p w14:paraId="09F7EAA1" w14:textId="77777777" w:rsidR="00D2106B" w:rsidRPr="00782535" w:rsidRDefault="00D2106B" w:rsidP="00D2106B">
            <w:pPr>
              <w:spacing w:line="260" w:lineRule="atLeast"/>
              <w:rPr>
                <w:bCs/>
              </w:rPr>
            </w:pPr>
          </w:p>
        </w:tc>
      </w:tr>
    </w:tbl>
    <w:p w14:paraId="03FE6A70" w14:textId="77777777" w:rsidR="00F47F59" w:rsidRPr="00F47F59" w:rsidRDefault="00F47F59" w:rsidP="00F47F59"/>
    <w:p w14:paraId="69163581" w14:textId="77777777" w:rsidR="00C76015" w:rsidRDefault="00C76015" w:rsidP="0011248A"/>
    <w:p w14:paraId="34A97F99" w14:textId="77777777" w:rsidR="00C76015" w:rsidRDefault="00C76015" w:rsidP="0011248A"/>
    <w:p w14:paraId="04165C0E" w14:textId="77777777" w:rsidR="00C76015" w:rsidRDefault="00C76015" w:rsidP="0011248A"/>
    <w:p w14:paraId="7EF6CA74" w14:textId="77777777" w:rsidR="00C76015" w:rsidRDefault="00C76015" w:rsidP="0011248A"/>
    <w:p w14:paraId="0F402509" w14:textId="77777777" w:rsidR="00C76015" w:rsidRDefault="00C76015" w:rsidP="0011248A"/>
    <w:p w14:paraId="47716223" w14:textId="5CC1BB6D" w:rsidR="00F71926" w:rsidRDefault="00C76015" w:rsidP="0011248A">
      <w:pPr>
        <w:rPr>
          <w:b/>
          <w:bCs/>
        </w:rPr>
      </w:pPr>
      <w:r w:rsidRPr="00C76015">
        <w:rPr>
          <w:b/>
          <w:bCs/>
        </w:rPr>
        <w:lastRenderedPageBreak/>
        <w:t>Toelichting</w:t>
      </w:r>
    </w:p>
    <w:p w14:paraId="0DF07FCA" w14:textId="77777777" w:rsidR="00D0125E" w:rsidRPr="00C76015" w:rsidRDefault="00D0125E" w:rsidP="0011248A">
      <w:pPr>
        <w:rPr>
          <w:b/>
          <w:bCs/>
        </w:rPr>
      </w:pPr>
    </w:p>
    <w:p w14:paraId="116EB8D8" w14:textId="77777777" w:rsidR="00D0125E" w:rsidRDefault="00C76015" w:rsidP="00D0125E">
      <w:r>
        <w:t xml:space="preserve">In </w:t>
      </w:r>
      <w:r>
        <w:t xml:space="preserve">artikel 26.2.12 </w:t>
      </w:r>
      <w:r>
        <w:t xml:space="preserve">zijn de </w:t>
      </w:r>
      <w:r>
        <w:t xml:space="preserve">forfaitaire bedragen voor boeken en leermiddelen </w:t>
      </w:r>
      <w:r>
        <w:t xml:space="preserve">aangepast </w:t>
      </w:r>
      <w:r>
        <w:t>naar de per 1 januari 2024 geldende bedragen.</w:t>
      </w:r>
    </w:p>
    <w:p w14:paraId="4073D873" w14:textId="725862AF" w:rsidR="00C76015" w:rsidRDefault="00D0125E" w:rsidP="00D0125E">
      <w:r>
        <w:t xml:space="preserve">In </w:t>
      </w:r>
      <w:r w:rsidR="00C76015">
        <w:t xml:space="preserve">artikel 26.2.19 </w:t>
      </w:r>
      <w:r>
        <w:t xml:space="preserve">zijn de </w:t>
      </w:r>
      <w:r w:rsidR="00C76015">
        <w:t xml:space="preserve">bedragen die zien op de normpremie zorgverzekering voor een alleenstaande of alleenstaande ouder, en de normpremie ziektekostenverzekering voor </w:t>
      </w:r>
      <w:r>
        <w:t>e</w:t>
      </w:r>
      <w:r w:rsidR="00C76015">
        <w:t xml:space="preserve">chtgenoten, </w:t>
      </w:r>
      <w:r>
        <w:t xml:space="preserve">aangepast </w:t>
      </w:r>
      <w:r w:rsidR="00C76015">
        <w:t>naar de per 1 januari 2024 geldende bedragen.</w:t>
      </w:r>
    </w:p>
    <w:p w14:paraId="36C1EAE1" w14:textId="6287A4E5" w:rsidR="00C76015" w:rsidRDefault="00D0125E" w:rsidP="00C76015">
      <w:r>
        <w:t>A</w:t>
      </w:r>
      <w:r w:rsidR="00C76015">
        <w:t>rtikel 58.2</w:t>
      </w:r>
      <w:r>
        <w:t xml:space="preserve"> is vervallen</w:t>
      </w:r>
      <w:r w:rsidR="00C76015">
        <w:t>. Door de wijziging van artikel 58 van de Invorderingswet 1990 per 1 januari 2019 is inmiddels duidelijk dat belastingschuldigen gehouden zijn door de invorderingsambtenaar gevraagde gegevens te verstrekken, zodat de invorderingsambtenaar kan beoordelen of hij derden aansprakelijk kan stellen voor de betreffende belastingschuld. Het artikel heeft daarmee zijn belang verloren en is daarom vervallen.</w:t>
      </w:r>
    </w:p>
    <w:p w14:paraId="573ECE8F" w14:textId="1E23291C" w:rsidR="00C76015" w:rsidRPr="00C76015" w:rsidRDefault="00D0125E" w:rsidP="00D0125E">
      <w:r>
        <w:t xml:space="preserve">Het opschrift van </w:t>
      </w:r>
      <w:r>
        <w:t>artikel 63b.3</w:t>
      </w:r>
      <w:r>
        <w:t xml:space="preserve"> is gewijzigd om het </w:t>
      </w:r>
      <w:r>
        <w:t>beter bij de inhoud van het artikel te laten aansluiten. Er is geen beleidswijziging beoogd.</w:t>
      </w:r>
    </w:p>
    <w:sectPr w:rsidR="00C76015" w:rsidRPr="00C76015" w:rsidSect="00590D35">
      <w:headerReference w:type="default" r:id="rId11"/>
      <w:footerReference w:type="default" r:id="rId12"/>
      <w:headerReference w:type="first" r:id="rId13"/>
      <w:footerReference w:type="first" r:id="rId14"/>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425A" w14:textId="77777777" w:rsidR="002D2D21" w:rsidRDefault="002D2D21">
      <w:r>
        <w:separator/>
      </w:r>
    </w:p>
  </w:endnote>
  <w:endnote w:type="continuationSeparator" w:id="0">
    <w:p w14:paraId="1621C595" w14:textId="77777777" w:rsidR="002D2D21" w:rsidRDefault="002D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987E" w14:textId="77777777" w:rsidR="002D2D21" w:rsidRPr="00607447" w:rsidRDefault="002D2D21"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78599610" wp14:editId="1FDEE58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99610"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4517BC9D" wp14:editId="3AABADB3">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7BC9D"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453E" w14:textId="77777777" w:rsidR="002D2D21" w:rsidRPr="004776AB" w:rsidRDefault="002D2D21"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B7E0E35" wp14:editId="6DF3D2A1">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rPr>
      <mc:AlternateContent>
        <mc:Choice Requires="wps">
          <w:drawing>
            <wp:anchor distT="0" distB="0" distL="114300" distR="114300" simplePos="0" relativeHeight="251666432" behindDoc="0" locked="0" layoutInCell="1" allowOverlap="1" wp14:anchorId="3DE4605A" wp14:editId="7D512BE4">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4605A"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A990" w14:textId="77777777" w:rsidR="002D2D21" w:rsidRDefault="002D2D21">
      <w:r>
        <w:separator/>
      </w:r>
    </w:p>
  </w:footnote>
  <w:footnote w:type="continuationSeparator" w:id="0">
    <w:p w14:paraId="19E1F17D" w14:textId="77777777" w:rsidR="002D2D21" w:rsidRDefault="002D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7FD" w14:textId="77777777" w:rsidR="002D2D21" w:rsidRDefault="002D2D21"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CA2F" w14:textId="77777777" w:rsidR="002D2D21" w:rsidRDefault="002D2D21" w:rsidP="00590D35">
    <w:pPr>
      <w:spacing w:after="1560"/>
    </w:pPr>
    <w:r w:rsidRPr="002E3B9D">
      <w:rPr>
        <w:noProof/>
      </w:rPr>
      <w:drawing>
        <wp:anchor distT="0" distB="0" distL="114300" distR="114300" simplePos="0" relativeHeight="251672575" behindDoc="1" locked="0" layoutInCell="0" allowOverlap="1" wp14:anchorId="67337D9F" wp14:editId="3D67358C">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0841732"/>
    <w:multiLevelType w:val="multilevel"/>
    <w:tmpl w:val="3E8497B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5"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6"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9"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0"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2"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4"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0884908">
    <w:abstractNumId w:val="2"/>
  </w:num>
  <w:num w:numId="2" w16cid:durableId="1531338768">
    <w:abstractNumId w:val="2"/>
    <w:lvlOverride w:ilvl="0">
      <w:startOverride w:val="1"/>
    </w:lvlOverride>
  </w:num>
  <w:num w:numId="3" w16cid:durableId="1166162975">
    <w:abstractNumId w:val="2"/>
    <w:lvlOverride w:ilvl="0">
      <w:startOverride w:val="1"/>
    </w:lvlOverride>
  </w:num>
  <w:num w:numId="4" w16cid:durableId="1316881385">
    <w:abstractNumId w:val="2"/>
    <w:lvlOverride w:ilvl="0">
      <w:startOverride w:val="1"/>
    </w:lvlOverride>
  </w:num>
  <w:num w:numId="5" w16cid:durableId="514075583">
    <w:abstractNumId w:val="2"/>
    <w:lvlOverride w:ilvl="0">
      <w:startOverride w:val="1"/>
    </w:lvlOverride>
  </w:num>
  <w:num w:numId="6" w16cid:durableId="1575318393">
    <w:abstractNumId w:val="18"/>
  </w:num>
  <w:num w:numId="7" w16cid:durableId="318462997">
    <w:abstractNumId w:val="15"/>
  </w:num>
  <w:num w:numId="8" w16cid:durableId="549728879">
    <w:abstractNumId w:val="24"/>
  </w:num>
  <w:num w:numId="9" w16cid:durableId="272834714">
    <w:abstractNumId w:val="26"/>
  </w:num>
  <w:num w:numId="10" w16cid:durableId="333148415">
    <w:abstractNumId w:val="6"/>
  </w:num>
  <w:num w:numId="11" w16cid:durableId="1434134804">
    <w:abstractNumId w:val="19"/>
  </w:num>
  <w:num w:numId="12" w16cid:durableId="1567111711">
    <w:abstractNumId w:val="14"/>
  </w:num>
  <w:num w:numId="13" w16cid:durableId="842358573">
    <w:abstractNumId w:val="25"/>
  </w:num>
  <w:num w:numId="14" w16cid:durableId="961764548">
    <w:abstractNumId w:val="13"/>
  </w:num>
  <w:num w:numId="15" w16cid:durableId="1794979952">
    <w:abstractNumId w:val="16"/>
  </w:num>
  <w:num w:numId="16" w16cid:durableId="1074007696">
    <w:abstractNumId w:val="20"/>
  </w:num>
  <w:num w:numId="17" w16cid:durableId="160897809">
    <w:abstractNumId w:val="12"/>
  </w:num>
  <w:num w:numId="18" w16cid:durableId="146628747">
    <w:abstractNumId w:val="17"/>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337928983">
    <w:abstractNumId w:val="1"/>
  </w:num>
  <w:num w:numId="20" w16cid:durableId="1543593709">
    <w:abstractNumId w:val="1"/>
  </w:num>
  <w:num w:numId="21" w16cid:durableId="19472533">
    <w:abstractNumId w:val="0"/>
  </w:num>
  <w:num w:numId="22" w16cid:durableId="29376455">
    <w:abstractNumId w:val="0"/>
  </w:num>
  <w:num w:numId="23" w16cid:durableId="1749496304">
    <w:abstractNumId w:val="1"/>
  </w:num>
  <w:num w:numId="24" w16cid:durableId="1207991176">
    <w:abstractNumId w:val="19"/>
  </w:num>
  <w:num w:numId="25" w16cid:durableId="1997612857">
    <w:abstractNumId w:val="19"/>
  </w:num>
  <w:num w:numId="26" w16cid:durableId="510873900">
    <w:abstractNumId w:val="4"/>
  </w:num>
  <w:num w:numId="27" w16cid:durableId="1537963007">
    <w:abstractNumId w:val="4"/>
  </w:num>
  <w:num w:numId="28" w16cid:durableId="1842813336">
    <w:abstractNumId w:val="27"/>
  </w:num>
  <w:num w:numId="29" w16cid:durableId="889262969">
    <w:abstractNumId w:val="13"/>
  </w:num>
  <w:num w:numId="30" w16cid:durableId="461077492">
    <w:abstractNumId w:val="5"/>
  </w:num>
  <w:num w:numId="31" w16cid:durableId="2007200176">
    <w:abstractNumId w:val="21"/>
  </w:num>
  <w:num w:numId="32" w16cid:durableId="2037729552">
    <w:abstractNumId w:val="10"/>
  </w:num>
  <w:num w:numId="33" w16cid:durableId="1543789161">
    <w:abstractNumId w:val="22"/>
  </w:num>
  <w:num w:numId="34" w16cid:durableId="1613706905">
    <w:abstractNumId w:val="7"/>
  </w:num>
  <w:num w:numId="35" w16cid:durableId="1786999320">
    <w:abstractNumId w:val="11"/>
  </w:num>
  <w:num w:numId="36" w16cid:durableId="716391786">
    <w:abstractNumId w:val="23"/>
  </w:num>
  <w:num w:numId="37" w16cid:durableId="1658610886">
    <w:abstractNumId w:val="8"/>
  </w:num>
  <w:num w:numId="38" w16cid:durableId="1223718301">
    <w:abstractNumId w:val="3"/>
  </w:num>
  <w:num w:numId="39" w16cid:durableId="20934982">
    <w:abstractNumId w:val="11"/>
  </w:num>
  <w:num w:numId="40" w16cid:durableId="395472520">
    <w:abstractNumId w:val="23"/>
  </w:num>
  <w:num w:numId="41" w16cid:durableId="383873868">
    <w:abstractNumId w:val="8"/>
  </w:num>
  <w:num w:numId="42" w16cid:durableId="1162696365">
    <w:abstractNumId w:val="3"/>
  </w:num>
  <w:num w:numId="43" w16cid:durableId="524486002">
    <w:abstractNumId w:val="11"/>
  </w:num>
  <w:num w:numId="44" w16cid:durableId="1969319532">
    <w:abstractNumId w:val="23"/>
  </w:num>
  <w:num w:numId="45" w16cid:durableId="909534025">
    <w:abstractNumId w:val="8"/>
  </w:num>
  <w:num w:numId="46" w16cid:durableId="2026128011">
    <w:abstractNumId w:val="3"/>
  </w:num>
  <w:num w:numId="47" w16cid:durableId="1071928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9"/>
    <w:rsid w:val="00012AFA"/>
    <w:rsid w:val="00017C57"/>
    <w:rsid w:val="00020B64"/>
    <w:rsid w:val="000417A1"/>
    <w:rsid w:val="000418E5"/>
    <w:rsid w:val="00042049"/>
    <w:rsid w:val="000506F8"/>
    <w:rsid w:val="00050743"/>
    <w:rsid w:val="00055A4B"/>
    <w:rsid w:val="00070796"/>
    <w:rsid w:val="00071277"/>
    <w:rsid w:val="000742B5"/>
    <w:rsid w:val="00084CB9"/>
    <w:rsid w:val="00086595"/>
    <w:rsid w:val="000962BB"/>
    <w:rsid w:val="000A666C"/>
    <w:rsid w:val="000B0118"/>
    <w:rsid w:val="000B61B9"/>
    <w:rsid w:val="000C1735"/>
    <w:rsid w:val="000C4290"/>
    <w:rsid w:val="000C512C"/>
    <w:rsid w:val="000D03A5"/>
    <w:rsid w:val="000D226C"/>
    <w:rsid w:val="000D28DD"/>
    <w:rsid w:val="000D4574"/>
    <w:rsid w:val="000E1DBB"/>
    <w:rsid w:val="000F33B3"/>
    <w:rsid w:val="000F6F4F"/>
    <w:rsid w:val="00100CBD"/>
    <w:rsid w:val="00100D7A"/>
    <w:rsid w:val="00107488"/>
    <w:rsid w:val="00111E05"/>
    <w:rsid w:val="0011248A"/>
    <w:rsid w:val="00115283"/>
    <w:rsid w:val="001210B4"/>
    <w:rsid w:val="00124EA9"/>
    <w:rsid w:val="00125358"/>
    <w:rsid w:val="001410A5"/>
    <w:rsid w:val="00143A9C"/>
    <w:rsid w:val="0014684E"/>
    <w:rsid w:val="00146B36"/>
    <w:rsid w:val="00165095"/>
    <w:rsid w:val="00177046"/>
    <w:rsid w:val="00185A52"/>
    <w:rsid w:val="001A439E"/>
    <w:rsid w:val="001A55EA"/>
    <w:rsid w:val="001A63A1"/>
    <w:rsid w:val="001B1512"/>
    <w:rsid w:val="001C3F17"/>
    <w:rsid w:val="001C50FC"/>
    <w:rsid w:val="001D49B8"/>
    <w:rsid w:val="001E1229"/>
    <w:rsid w:val="001E30DD"/>
    <w:rsid w:val="001E3ADB"/>
    <w:rsid w:val="001F3BFB"/>
    <w:rsid w:val="00201EAF"/>
    <w:rsid w:val="0020379C"/>
    <w:rsid w:val="00203C3D"/>
    <w:rsid w:val="00204B4B"/>
    <w:rsid w:val="002058C6"/>
    <w:rsid w:val="0021160C"/>
    <w:rsid w:val="00216D16"/>
    <w:rsid w:val="00217C55"/>
    <w:rsid w:val="002201A8"/>
    <w:rsid w:val="00230046"/>
    <w:rsid w:val="002348FC"/>
    <w:rsid w:val="0023513C"/>
    <w:rsid w:val="00237D84"/>
    <w:rsid w:val="0024071A"/>
    <w:rsid w:val="00241172"/>
    <w:rsid w:val="002430BF"/>
    <w:rsid w:val="00253EA6"/>
    <w:rsid w:val="0025593B"/>
    <w:rsid w:val="00256AE9"/>
    <w:rsid w:val="002604D3"/>
    <w:rsid w:val="002626E0"/>
    <w:rsid w:val="00267B36"/>
    <w:rsid w:val="00274A16"/>
    <w:rsid w:val="002852A6"/>
    <w:rsid w:val="002A6CA8"/>
    <w:rsid w:val="002C36B2"/>
    <w:rsid w:val="002C62F2"/>
    <w:rsid w:val="002D1047"/>
    <w:rsid w:val="002D2D21"/>
    <w:rsid w:val="002E3B9D"/>
    <w:rsid w:val="002E4754"/>
    <w:rsid w:val="002E63C0"/>
    <w:rsid w:val="002F03F0"/>
    <w:rsid w:val="002F31FE"/>
    <w:rsid w:val="002F37AB"/>
    <w:rsid w:val="002F705E"/>
    <w:rsid w:val="0030283D"/>
    <w:rsid w:val="00326248"/>
    <w:rsid w:val="0032693D"/>
    <w:rsid w:val="00336067"/>
    <w:rsid w:val="00341C4D"/>
    <w:rsid w:val="00344F71"/>
    <w:rsid w:val="00356060"/>
    <w:rsid w:val="003620C7"/>
    <w:rsid w:val="0036240A"/>
    <w:rsid w:val="00363BCC"/>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982"/>
    <w:rsid w:val="003F2F2F"/>
    <w:rsid w:val="003F3BB9"/>
    <w:rsid w:val="003F6353"/>
    <w:rsid w:val="003F6C28"/>
    <w:rsid w:val="00400CFC"/>
    <w:rsid w:val="00433ED1"/>
    <w:rsid w:val="004408E4"/>
    <w:rsid w:val="004414AB"/>
    <w:rsid w:val="004505A6"/>
    <w:rsid w:val="004614A0"/>
    <w:rsid w:val="00466BDA"/>
    <w:rsid w:val="0047021E"/>
    <w:rsid w:val="004776AB"/>
    <w:rsid w:val="0048375D"/>
    <w:rsid w:val="00486ED2"/>
    <w:rsid w:val="00495B36"/>
    <w:rsid w:val="00497ABB"/>
    <w:rsid w:val="004A18A2"/>
    <w:rsid w:val="004A23EA"/>
    <w:rsid w:val="004A544C"/>
    <w:rsid w:val="004C36DA"/>
    <w:rsid w:val="004C5C32"/>
    <w:rsid w:val="004D0BB2"/>
    <w:rsid w:val="004D1698"/>
    <w:rsid w:val="004D4D2F"/>
    <w:rsid w:val="004D719D"/>
    <w:rsid w:val="004D7CC9"/>
    <w:rsid w:val="004F0C98"/>
    <w:rsid w:val="0052111F"/>
    <w:rsid w:val="005403F7"/>
    <w:rsid w:val="005501D5"/>
    <w:rsid w:val="00551149"/>
    <w:rsid w:val="005565F0"/>
    <w:rsid w:val="00567ED4"/>
    <w:rsid w:val="00573D63"/>
    <w:rsid w:val="00575E30"/>
    <w:rsid w:val="00583601"/>
    <w:rsid w:val="00590D35"/>
    <w:rsid w:val="005A1F0C"/>
    <w:rsid w:val="005A5B07"/>
    <w:rsid w:val="005A5E34"/>
    <w:rsid w:val="005B2D93"/>
    <w:rsid w:val="005B2F3D"/>
    <w:rsid w:val="005B4AB2"/>
    <w:rsid w:val="005B575D"/>
    <w:rsid w:val="005C16B5"/>
    <w:rsid w:val="005C2A6E"/>
    <w:rsid w:val="005D4466"/>
    <w:rsid w:val="005D6CEC"/>
    <w:rsid w:val="005D701C"/>
    <w:rsid w:val="005E6568"/>
    <w:rsid w:val="005F3676"/>
    <w:rsid w:val="00605775"/>
    <w:rsid w:val="00607447"/>
    <w:rsid w:val="00607FEA"/>
    <w:rsid w:val="006141A2"/>
    <w:rsid w:val="00617006"/>
    <w:rsid w:val="00624E7D"/>
    <w:rsid w:val="00630F1E"/>
    <w:rsid w:val="00633E87"/>
    <w:rsid w:val="00635467"/>
    <w:rsid w:val="00635F37"/>
    <w:rsid w:val="006413D9"/>
    <w:rsid w:val="00654FEE"/>
    <w:rsid w:val="00660585"/>
    <w:rsid w:val="006714B0"/>
    <w:rsid w:val="00686433"/>
    <w:rsid w:val="00686F19"/>
    <w:rsid w:val="00692641"/>
    <w:rsid w:val="00696512"/>
    <w:rsid w:val="006A201C"/>
    <w:rsid w:val="006A568B"/>
    <w:rsid w:val="006B1AB8"/>
    <w:rsid w:val="006C1F71"/>
    <w:rsid w:val="006D3956"/>
    <w:rsid w:val="006D57EE"/>
    <w:rsid w:val="006E61D5"/>
    <w:rsid w:val="006F1995"/>
    <w:rsid w:val="006F314E"/>
    <w:rsid w:val="006F6495"/>
    <w:rsid w:val="00711AFC"/>
    <w:rsid w:val="00712545"/>
    <w:rsid w:val="00722306"/>
    <w:rsid w:val="00723D53"/>
    <w:rsid w:val="007306EF"/>
    <w:rsid w:val="007521B0"/>
    <w:rsid w:val="00763982"/>
    <w:rsid w:val="00770F2B"/>
    <w:rsid w:val="00772B63"/>
    <w:rsid w:val="00776557"/>
    <w:rsid w:val="00782535"/>
    <w:rsid w:val="00782E8B"/>
    <w:rsid w:val="00790B6A"/>
    <w:rsid w:val="007A01F4"/>
    <w:rsid w:val="007A6F75"/>
    <w:rsid w:val="007B0DFF"/>
    <w:rsid w:val="007B1C27"/>
    <w:rsid w:val="007B460C"/>
    <w:rsid w:val="007C626D"/>
    <w:rsid w:val="007D3219"/>
    <w:rsid w:val="007D6D1D"/>
    <w:rsid w:val="007D78B2"/>
    <w:rsid w:val="007E0158"/>
    <w:rsid w:val="007E33FB"/>
    <w:rsid w:val="007E5D23"/>
    <w:rsid w:val="007E72C2"/>
    <w:rsid w:val="007F1C81"/>
    <w:rsid w:val="007F1E61"/>
    <w:rsid w:val="00805ABD"/>
    <w:rsid w:val="00806364"/>
    <w:rsid w:val="00814352"/>
    <w:rsid w:val="00815D83"/>
    <w:rsid w:val="00817A7C"/>
    <w:rsid w:val="008216CB"/>
    <w:rsid w:val="00824BE6"/>
    <w:rsid w:val="00827465"/>
    <w:rsid w:val="00827E6B"/>
    <w:rsid w:val="00832390"/>
    <w:rsid w:val="008329D6"/>
    <w:rsid w:val="00834C88"/>
    <w:rsid w:val="00837A0C"/>
    <w:rsid w:val="00840509"/>
    <w:rsid w:val="00844DE0"/>
    <w:rsid w:val="0085125D"/>
    <w:rsid w:val="008526B5"/>
    <w:rsid w:val="008541CC"/>
    <w:rsid w:val="0085520F"/>
    <w:rsid w:val="00857FCB"/>
    <w:rsid w:val="008666D6"/>
    <w:rsid w:val="00871AA0"/>
    <w:rsid w:val="00872931"/>
    <w:rsid w:val="008756BB"/>
    <w:rsid w:val="00880897"/>
    <w:rsid w:val="00890DA6"/>
    <w:rsid w:val="00896E2F"/>
    <w:rsid w:val="008B526C"/>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20638"/>
    <w:rsid w:val="00923268"/>
    <w:rsid w:val="00925DB4"/>
    <w:rsid w:val="009319F4"/>
    <w:rsid w:val="00940043"/>
    <w:rsid w:val="00960C5B"/>
    <w:rsid w:val="0096585C"/>
    <w:rsid w:val="00971A1A"/>
    <w:rsid w:val="009731BB"/>
    <w:rsid w:val="00977C07"/>
    <w:rsid w:val="00984FD7"/>
    <w:rsid w:val="00985BED"/>
    <w:rsid w:val="009925E2"/>
    <w:rsid w:val="009A1772"/>
    <w:rsid w:val="009A4BE1"/>
    <w:rsid w:val="009A664B"/>
    <w:rsid w:val="009A7030"/>
    <w:rsid w:val="009B2AF4"/>
    <w:rsid w:val="009C00E0"/>
    <w:rsid w:val="009C29D4"/>
    <w:rsid w:val="009C2C04"/>
    <w:rsid w:val="009C2E52"/>
    <w:rsid w:val="009D1E62"/>
    <w:rsid w:val="009D2226"/>
    <w:rsid w:val="009F0A61"/>
    <w:rsid w:val="00A01B33"/>
    <w:rsid w:val="00A07FC5"/>
    <w:rsid w:val="00A10A0A"/>
    <w:rsid w:val="00A11B66"/>
    <w:rsid w:val="00A15DB2"/>
    <w:rsid w:val="00A16489"/>
    <w:rsid w:val="00A311AF"/>
    <w:rsid w:val="00A33847"/>
    <w:rsid w:val="00A3584D"/>
    <w:rsid w:val="00A50654"/>
    <w:rsid w:val="00A515BB"/>
    <w:rsid w:val="00A6248C"/>
    <w:rsid w:val="00A7018D"/>
    <w:rsid w:val="00A70928"/>
    <w:rsid w:val="00A8107D"/>
    <w:rsid w:val="00A8532A"/>
    <w:rsid w:val="00A85DD7"/>
    <w:rsid w:val="00A91DA5"/>
    <w:rsid w:val="00A958BD"/>
    <w:rsid w:val="00AA7354"/>
    <w:rsid w:val="00AB1016"/>
    <w:rsid w:val="00AC0E57"/>
    <w:rsid w:val="00AC5050"/>
    <w:rsid w:val="00AC5BBF"/>
    <w:rsid w:val="00AC6737"/>
    <w:rsid w:val="00AC69C4"/>
    <w:rsid w:val="00AD0B28"/>
    <w:rsid w:val="00AE0781"/>
    <w:rsid w:val="00AE39C1"/>
    <w:rsid w:val="00AE6307"/>
    <w:rsid w:val="00AF4876"/>
    <w:rsid w:val="00B00B7C"/>
    <w:rsid w:val="00B21FAC"/>
    <w:rsid w:val="00B2486E"/>
    <w:rsid w:val="00B33172"/>
    <w:rsid w:val="00B37A68"/>
    <w:rsid w:val="00B41E19"/>
    <w:rsid w:val="00B43003"/>
    <w:rsid w:val="00B465E3"/>
    <w:rsid w:val="00B473FA"/>
    <w:rsid w:val="00B5407E"/>
    <w:rsid w:val="00B576CA"/>
    <w:rsid w:val="00B718F7"/>
    <w:rsid w:val="00B823B1"/>
    <w:rsid w:val="00B85260"/>
    <w:rsid w:val="00B86557"/>
    <w:rsid w:val="00B90E6A"/>
    <w:rsid w:val="00B93830"/>
    <w:rsid w:val="00B95931"/>
    <w:rsid w:val="00BA67D3"/>
    <w:rsid w:val="00BB20FF"/>
    <w:rsid w:val="00BC1CB7"/>
    <w:rsid w:val="00BE2D57"/>
    <w:rsid w:val="00BE4649"/>
    <w:rsid w:val="00BE4715"/>
    <w:rsid w:val="00BE4DCE"/>
    <w:rsid w:val="00BF52B3"/>
    <w:rsid w:val="00C22599"/>
    <w:rsid w:val="00C36671"/>
    <w:rsid w:val="00C36B2C"/>
    <w:rsid w:val="00C40464"/>
    <w:rsid w:val="00C45E4B"/>
    <w:rsid w:val="00C52713"/>
    <w:rsid w:val="00C57444"/>
    <w:rsid w:val="00C6694F"/>
    <w:rsid w:val="00C76015"/>
    <w:rsid w:val="00C85A27"/>
    <w:rsid w:val="00C92B60"/>
    <w:rsid w:val="00CA1B56"/>
    <w:rsid w:val="00CA56D4"/>
    <w:rsid w:val="00CB0148"/>
    <w:rsid w:val="00CB6E70"/>
    <w:rsid w:val="00CC101E"/>
    <w:rsid w:val="00CD11BE"/>
    <w:rsid w:val="00CD1354"/>
    <w:rsid w:val="00CE1EE7"/>
    <w:rsid w:val="00CE46AF"/>
    <w:rsid w:val="00D0125E"/>
    <w:rsid w:val="00D01C2E"/>
    <w:rsid w:val="00D06B6E"/>
    <w:rsid w:val="00D11880"/>
    <w:rsid w:val="00D2106B"/>
    <w:rsid w:val="00D3317B"/>
    <w:rsid w:val="00D33AD8"/>
    <w:rsid w:val="00D364BD"/>
    <w:rsid w:val="00D45398"/>
    <w:rsid w:val="00D60489"/>
    <w:rsid w:val="00D66E71"/>
    <w:rsid w:val="00D85FC5"/>
    <w:rsid w:val="00D872D2"/>
    <w:rsid w:val="00D87DAC"/>
    <w:rsid w:val="00DA0F7C"/>
    <w:rsid w:val="00DA3B54"/>
    <w:rsid w:val="00DA6F0C"/>
    <w:rsid w:val="00DB2BE7"/>
    <w:rsid w:val="00DB6A81"/>
    <w:rsid w:val="00DE0766"/>
    <w:rsid w:val="00DF08F9"/>
    <w:rsid w:val="00E12AF3"/>
    <w:rsid w:val="00E13E67"/>
    <w:rsid w:val="00E225C1"/>
    <w:rsid w:val="00E238E8"/>
    <w:rsid w:val="00E24E69"/>
    <w:rsid w:val="00E412E4"/>
    <w:rsid w:val="00E56A12"/>
    <w:rsid w:val="00E57FE9"/>
    <w:rsid w:val="00E640B4"/>
    <w:rsid w:val="00E70940"/>
    <w:rsid w:val="00E87A6D"/>
    <w:rsid w:val="00EB0D74"/>
    <w:rsid w:val="00EB1243"/>
    <w:rsid w:val="00EB3371"/>
    <w:rsid w:val="00EB40BA"/>
    <w:rsid w:val="00EB61DA"/>
    <w:rsid w:val="00EC5CDB"/>
    <w:rsid w:val="00ED57C7"/>
    <w:rsid w:val="00ED6BD8"/>
    <w:rsid w:val="00ED77A3"/>
    <w:rsid w:val="00EE51ED"/>
    <w:rsid w:val="00EE56C5"/>
    <w:rsid w:val="00EE6875"/>
    <w:rsid w:val="00EE7AD9"/>
    <w:rsid w:val="00F07ACE"/>
    <w:rsid w:val="00F12B2F"/>
    <w:rsid w:val="00F20E52"/>
    <w:rsid w:val="00F33390"/>
    <w:rsid w:val="00F41A21"/>
    <w:rsid w:val="00F42D22"/>
    <w:rsid w:val="00F431A3"/>
    <w:rsid w:val="00F46133"/>
    <w:rsid w:val="00F4696A"/>
    <w:rsid w:val="00F47F59"/>
    <w:rsid w:val="00F554BE"/>
    <w:rsid w:val="00F62A08"/>
    <w:rsid w:val="00F633D6"/>
    <w:rsid w:val="00F7114C"/>
    <w:rsid w:val="00F71926"/>
    <w:rsid w:val="00F71B14"/>
    <w:rsid w:val="00F8489E"/>
    <w:rsid w:val="00FA2053"/>
    <w:rsid w:val="00FA2DA8"/>
    <w:rsid w:val="00FA3B97"/>
    <w:rsid w:val="00FB0CB0"/>
    <w:rsid w:val="00FB64F7"/>
    <w:rsid w:val="00FC63F0"/>
    <w:rsid w:val="00FD2DAF"/>
    <w:rsid w:val="00FD7A82"/>
    <w:rsid w:val="00FE5436"/>
    <w:rsid w:val="00FF5B25"/>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DEE20F"/>
  <w15:docId w15:val="{8C29A11C-DCAE-4DBE-99E2-136FFD03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table" w:customStyle="1" w:styleId="VNGtabelmiddenblauw1">
    <w:name w:val="VNG tabel midden blauw1"/>
    <w:basedOn w:val="VNGtabelgroen"/>
    <w:uiPriority w:val="99"/>
    <w:rsid w:val="00F47F59"/>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character" w:styleId="Verwijzingopmerking">
    <w:name w:val="annotation reference"/>
    <w:basedOn w:val="Standaardalinea-lettertype"/>
    <w:uiPriority w:val="99"/>
    <w:semiHidden/>
    <w:unhideWhenUsed/>
    <w:rsid w:val="009C29D4"/>
    <w:rPr>
      <w:sz w:val="16"/>
      <w:szCs w:val="16"/>
    </w:rPr>
  </w:style>
  <w:style w:type="paragraph" w:styleId="Tekstopmerking">
    <w:name w:val="annotation text"/>
    <w:basedOn w:val="Standaard"/>
    <w:link w:val="TekstopmerkingChar"/>
    <w:uiPriority w:val="99"/>
    <w:semiHidden/>
    <w:unhideWhenUsed/>
    <w:rsid w:val="009C29D4"/>
    <w:pPr>
      <w:spacing w:line="240" w:lineRule="auto"/>
    </w:pPr>
    <w:rPr>
      <w:rFonts w:ascii="Calibri" w:hAnsi="Calibri"/>
    </w:rPr>
  </w:style>
  <w:style w:type="character" w:customStyle="1" w:styleId="TekstopmerkingChar">
    <w:name w:val="Tekst opmerking Char"/>
    <w:basedOn w:val="Standaardalinea-lettertype"/>
    <w:link w:val="Tekstopmerking"/>
    <w:uiPriority w:val="99"/>
    <w:semiHidden/>
    <w:rsid w:val="009C29D4"/>
    <w:rPr>
      <w:rFonts w:ascii="Calibri" w:hAnsi="Calibri"/>
    </w:rPr>
  </w:style>
  <w:style w:type="character" w:customStyle="1" w:styleId="ol">
    <w:name w:val="ol"/>
    <w:basedOn w:val="Standaardalinea-lettertype"/>
    <w:rsid w:val="00D2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53118">
      <w:bodyDiv w:val="1"/>
      <w:marLeft w:val="0"/>
      <w:marRight w:val="0"/>
      <w:marTop w:val="0"/>
      <w:marBottom w:val="0"/>
      <w:divBdr>
        <w:top w:val="none" w:sz="0" w:space="0" w:color="auto"/>
        <w:left w:val="none" w:sz="0" w:space="0" w:color="auto"/>
        <w:bottom w:val="none" w:sz="0" w:space="0" w:color="auto"/>
        <w:right w:val="none" w:sz="0" w:space="0" w:color="auto"/>
      </w:divBdr>
    </w:div>
    <w:div w:id="768159972">
      <w:bodyDiv w:val="1"/>
      <w:marLeft w:val="0"/>
      <w:marRight w:val="0"/>
      <w:marTop w:val="0"/>
      <w:marBottom w:val="0"/>
      <w:divBdr>
        <w:top w:val="none" w:sz="0" w:space="0" w:color="auto"/>
        <w:left w:val="none" w:sz="0" w:space="0" w:color="auto"/>
        <w:bottom w:val="none" w:sz="0" w:space="0" w:color="auto"/>
        <w:right w:val="none" w:sz="0" w:space="0" w:color="auto"/>
      </w:divBdr>
    </w:div>
    <w:div w:id="19278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4d52e53dbc9121639562018862271205">
  <xsd:schema xmlns:xsd="http://www.w3.org/2001/XMLSchema" xmlns:xs="http://www.w3.org/2001/XMLSchema" xmlns:p="http://schemas.microsoft.com/office/2006/metadata/properties" xmlns:ns2="87dfae08-d86b-47c6-976a-3de4263cac44" targetNamespace="http://schemas.microsoft.com/office/2006/metadata/properties" ma:root="true" ma:fieldsID="06efb52812801c3486d13d7bc823a438"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A7BB6-B3CC-41E4-B019-1D31AF1E8865}">
  <ds:schemaRefs>
    <ds:schemaRef ds:uri="http://schemas.microsoft.com/office/2006/documentManagement/types"/>
    <ds:schemaRef ds:uri="http://schemas.microsoft.com/office/2006/metadata/properties"/>
    <ds:schemaRef ds:uri="87dfae08-d86b-47c6-976a-3de4263cac44"/>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DCB6A54-585A-4B29-8DEB-E81E642C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4FFDC-940D-4207-89E5-E0C7CFFE8570}">
  <ds:schemaRefs>
    <ds:schemaRef ds:uri="http://schemas.openxmlformats.org/officeDocument/2006/bibliography"/>
  </ds:schemaRefs>
</ds:datastoreItem>
</file>

<file path=customXml/itemProps4.xml><?xml version="1.0" encoding="utf-8"?>
<ds:datastoreItem xmlns:ds="http://schemas.openxmlformats.org/officeDocument/2006/customXml" ds:itemID="{8E10A403-F4A8-4B2E-B0FD-C7E6D4775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VNG_leegsjabloon</Template>
  <TotalTime>26</TotalTime>
  <Pages>3</Pages>
  <Words>1224</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8388</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Rosalie van Heijst</dc:creator>
  <cp:lastModifiedBy>Rosalie van Heijst</cp:lastModifiedBy>
  <cp:revision>4</cp:revision>
  <cp:lastPrinted>2016-12-22T18:38:00Z</cp:lastPrinted>
  <dcterms:created xsi:type="dcterms:W3CDTF">2024-01-12T12:23:00Z</dcterms:created>
  <dcterms:modified xsi:type="dcterms:W3CDTF">2024-01-25T12:51:00Z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y fmtid="{D5CDD505-2E9C-101B-9397-08002B2CF9AE}" pid="3" name="TaxKeyword">
    <vt:lpwstr/>
  </property>
  <property fmtid="{D5CDD505-2E9C-101B-9397-08002B2CF9AE}" pid="4" name="_dlc_DocIdItemGuid">
    <vt:lpwstr>bd70769a-e0f2-42ab-83a0-a675d089cdd6</vt:lpwstr>
  </property>
</Properties>
</file>