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F1B1" w14:textId="22D8F72B" w:rsidR="006F7354" w:rsidRPr="004C7DC3" w:rsidRDefault="00326196" w:rsidP="004C7DC3">
      <w:pPr>
        <w:pStyle w:val="Kop3"/>
        <w:rPr>
          <w:rFonts w:cs="Arial"/>
          <w:sz w:val="20"/>
          <w:szCs w:val="20"/>
        </w:rPr>
      </w:pPr>
      <w:r w:rsidRPr="00E07875">
        <w:rPr>
          <w:rFonts w:cs="Arial"/>
          <w:sz w:val="20"/>
          <w:szCs w:val="20"/>
        </w:rPr>
        <w:t xml:space="preserve">Was-wordt-tabel </w:t>
      </w:r>
      <w:r w:rsidR="00507A0C">
        <w:rPr>
          <w:rFonts w:cs="Arial"/>
          <w:sz w:val="20"/>
          <w:szCs w:val="20"/>
        </w:rPr>
        <w:t xml:space="preserve">redactionele wijziging </w:t>
      </w:r>
      <w:r w:rsidR="006F322A">
        <w:rPr>
          <w:rFonts w:cs="Arial"/>
          <w:sz w:val="20"/>
          <w:szCs w:val="20"/>
        </w:rPr>
        <w:t>M</w:t>
      </w:r>
      <w:r w:rsidRPr="00E07875">
        <w:rPr>
          <w:rFonts w:cs="Arial"/>
          <w:sz w:val="20"/>
          <w:szCs w:val="20"/>
        </w:rPr>
        <w:t>odel</w:t>
      </w:r>
      <w:r w:rsidR="006F322A">
        <w:rPr>
          <w:rFonts w:cs="Arial"/>
          <w:sz w:val="20"/>
          <w:szCs w:val="20"/>
        </w:rPr>
        <w:t xml:space="preserve"> V</w:t>
      </w:r>
      <w:r w:rsidRPr="00E07875">
        <w:rPr>
          <w:rFonts w:cs="Arial"/>
          <w:sz w:val="20"/>
          <w:szCs w:val="20"/>
        </w:rPr>
        <w:t xml:space="preserve">erordening leges </w:t>
      </w:r>
      <w:r w:rsidR="007300E4">
        <w:rPr>
          <w:rFonts w:cs="Arial"/>
          <w:sz w:val="20"/>
          <w:szCs w:val="20"/>
        </w:rPr>
        <w:t>per 1 januari 2024 (oktober 2023)</w:t>
      </w:r>
    </w:p>
    <w:tbl>
      <w:tblPr>
        <w:tblStyle w:val="Tabelraster1"/>
        <w:tblW w:w="9067" w:type="dxa"/>
        <w:tblLook w:val="04A0" w:firstRow="1" w:lastRow="0" w:firstColumn="1" w:lastColumn="0" w:noHBand="0" w:noVBand="1"/>
      </w:tblPr>
      <w:tblGrid>
        <w:gridCol w:w="9067"/>
      </w:tblGrid>
      <w:tr w:rsidR="008017CD" w:rsidRPr="00E07875" w14:paraId="19855069" w14:textId="77777777" w:rsidTr="00240BBA">
        <w:trPr>
          <w:trHeight w:val="1209"/>
        </w:trPr>
        <w:tc>
          <w:tcPr>
            <w:tcW w:w="9067" w:type="dxa"/>
            <w:tcBorders>
              <w:top w:val="single" w:sz="4" w:space="0" w:color="auto"/>
              <w:left w:val="single" w:sz="4" w:space="0" w:color="auto"/>
              <w:bottom w:val="single" w:sz="4" w:space="0" w:color="auto"/>
              <w:right w:val="single" w:sz="4" w:space="0" w:color="auto"/>
            </w:tcBorders>
            <w:hideMark/>
          </w:tcPr>
          <w:p w14:paraId="66D654CB" w14:textId="757EC833" w:rsidR="008017CD" w:rsidRPr="00E07875" w:rsidRDefault="008017CD" w:rsidP="003A1D15">
            <w:pPr>
              <w:tabs>
                <w:tab w:val="left" w:pos="6570"/>
              </w:tabs>
              <w:rPr>
                <w:rFonts w:cs="Arial"/>
                <w:b/>
                <w:bCs/>
              </w:rPr>
            </w:pPr>
            <w:r w:rsidRPr="00E07875">
              <w:rPr>
                <w:rFonts w:cs="Arial"/>
                <w:b/>
                <w:bCs/>
              </w:rPr>
              <w:t>Leeswijzer modelbepalingen</w:t>
            </w:r>
          </w:p>
          <w:p w14:paraId="477FE05D" w14:textId="4DFD8BEC" w:rsidR="008017CD" w:rsidRPr="00E07875" w:rsidRDefault="008017CD" w:rsidP="008017CD">
            <w:pPr>
              <w:rPr>
                <w:rFonts w:cs="Arial"/>
                <w:b/>
                <w:bCs/>
              </w:rPr>
            </w:pPr>
            <w:r w:rsidRPr="00E07875">
              <w:rPr>
                <w:rFonts w:cs="Arial"/>
              </w:rPr>
              <w:t xml:space="preserve">In de ‘bestaande tekst’ zijn de woorden en leestekens waaraan iets verandert </w:t>
            </w:r>
            <w:r w:rsidRPr="00E07875">
              <w:rPr>
                <w:rFonts w:cs="Arial"/>
                <w:i/>
              </w:rPr>
              <w:t>cursief</w:t>
            </w:r>
            <w:r w:rsidRPr="00E07875">
              <w:rPr>
                <w:rFonts w:cs="Arial"/>
              </w:rPr>
              <w:t xml:space="preserve"> gezet</w:t>
            </w:r>
            <w:r w:rsidR="008F05E4" w:rsidRPr="00E07875">
              <w:rPr>
                <w:rFonts w:cs="Arial"/>
              </w:rPr>
              <w:t xml:space="preserve"> </w:t>
            </w:r>
            <w:r w:rsidR="00936F8B" w:rsidRPr="00E07875">
              <w:rPr>
                <w:rFonts w:cs="Arial"/>
              </w:rPr>
              <w:t>of</w:t>
            </w:r>
            <w:r w:rsidR="008F05E4" w:rsidRPr="00E07875">
              <w:rPr>
                <w:rFonts w:cs="Arial"/>
              </w:rPr>
              <w:t xml:space="preserve"> </w:t>
            </w:r>
            <w:r w:rsidR="000B7EAB">
              <w:rPr>
                <w:rFonts w:cs="Arial"/>
              </w:rPr>
              <w:t>onderstreept</w:t>
            </w:r>
            <w:r w:rsidR="008F05E4" w:rsidRPr="00E07875">
              <w:rPr>
                <w:rFonts w:cs="Arial"/>
              </w:rPr>
              <w:t xml:space="preserve"> als de tekst facultatief is</w:t>
            </w:r>
            <w:r w:rsidR="003A1D15" w:rsidRPr="00E07875">
              <w:rPr>
                <w:rFonts w:cs="Arial"/>
              </w:rPr>
              <w:t>.</w:t>
            </w:r>
            <w:r w:rsidRPr="00E07875">
              <w:rPr>
                <w:rFonts w:cs="Arial"/>
              </w:rPr>
              <w:t xml:space="preserve"> In de ‘nieuwe tekst’ zijn de nieuwe woorden en leestekens </w:t>
            </w:r>
            <w:r w:rsidRPr="00E07875">
              <w:rPr>
                <w:rFonts w:cs="Arial"/>
                <w:b/>
              </w:rPr>
              <w:t>vet</w:t>
            </w:r>
            <w:r w:rsidRPr="00E07875">
              <w:rPr>
                <w:rFonts w:cs="Arial"/>
              </w:rPr>
              <w:t xml:space="preserve"> gedrukt </w:t>
            </w:r>
            <w:r w:rsidR="00936F8B" w:rsidRPr="00E07875">
              <w:rPr>
                <w:rFonts w:cs="Arial"/>
              </w:rPr>
              <w:t>of</w:t>
            </w:r>
            <w:r w:rsidRPr="00E07875">
              <w:rPr>
                <w:rFonts w:cs="Arial"/>
              </w:rPr>
              <w:t xml:space="preserve"> </w:t>
            </w:r>
            <w:r w:rsidR="000B7EAB">
              <w:rPr>
                <w:rFonts w:cs="Arial"/>
              </w:rPr>
              <w:t>onderstreept</w:t>
            </w:r>
            <w:r w:rsidRPr="00E07875">
              <w:rPr>
                <w:rFonts w:cs="Arial"/>
              </w:rPr>
              <w:t xml:space="preserve"> in de gevallen waarin de tekst </w:t>
            </w:r>
            <w:r w:rsidR="003A1D15" w:rsidRPr="00E07875">
              <w:rPr>
                <w:rFonts w:cs="Arial"/>
              </w:rPr>
              <w:t xml:space="preserve">facultatief </w:t>
            </w:r>
            <w:r w:rsidR="00873741">
              <w:rPr>
                <w:rFonts w:cs="Arial"/>
              </w:rPr>
              <w:t xml:space="preserve">of zelf in te vullen </w:t>
            </w:r>
            <w:r w:rsidR="003A1D15" w:rsidRPr="00E07875">
              <w:rPr>
                <w:rFonts w:cs="Arial"/>
              </w:rPr>
              <w:t>is</w:t>
            </w:r>
            <w:r w:rsidRPr="00E07875">
              <w:rPr>
                <w:rFonts w:cs="Arial"/>
              </w:rPr>
              <w:t>.</w:t>
            </w:r>
          </w:p>
          <w:p w14:paraId="0FCF29DA" w14:textId="77777777" w:rsidR="008017CD" w:rsidRPr="00E07875" w:rsidRDefault="008017CD" w:rsidP="008017CD">
            <w:pPr>
              <w:rPr>
                <w:rFonts w:cs="Arial"/>
                <w:b/>
                <w:bCs/>
              </w:rPr>
            </w:pPr>
          </w:p>
        </w:tc>
      </w:tr>
    </w:tbl>
    <w:p w14:paraId="5DC8802D" w14:textId="77777777" w:rsidR="00B36E02" w:rsidRPr="00E07875" w:rsidRDefault="00B36E02" w:rsidP="008017CD">
      <w:pPr>
        <w:rPr>
          <w:rFonts w:cs="Arial"/>
        </w:rPr>
      </w:pPr>
    </w:p>
    <w:p w14:paraId="385F446F" w14:textId="7DF43471" w:rsidR="008017CD" w:rsidRPr="00E07875" w:rsidRDefault="00D86603" w:rsidP="008017CD">
      <w:pPr>
        <w:rPr>
          <w:rFonts w:cs="Arial"/>
          <w:b/>
        </w:rPr>
      </w:pPr>
      <w:bookmarkStart w:id="0" w:name="_Hlk11675122"/>
      <w:r>
        <w:rPr>
          <w:rFonts w:cs="Arial"/>
          <w:b/>
        </w:rPr>
        <w:t xml:space="preserve">Wijziging </w:t>
      </w:r>
      <w:r w:rsidR="008017CD" w:rsidRPr="00E07875">
        <w:rPr>
          <w:rFonts w:cs="Arial"/>
          <w:b/>
        </w:rPr>
        <w:t>Model</w:t>
      </w:r>
      <w:r>
        <w:rPr>
          <w:rFonts w:cs="Arial"/>
          <w:b/>
        </w:rPr>
        <w:t xml:space="preserve"> V</w:t>
      </w:r>
      <w:r w:rsidR="008017CD" w:rsidRPr="00E07875">
        <w:rPr>
          <w:rFonts w:cs="Arial"/>
          <w:b/>
        </w:rPr>
        <w:t>erordening leges</w:t>
      </w:r>
      <w:r w:rsidR="007300E4">
        <w:rPr>
          <w:rFonts w:cs="Arial"/>
          <w:b/>
        </w:rPr>
        <w:t xml:space="preserve"> per 1 januari 2024</w:t>
      </w:r>
    </w:p>
    <w:p w14:paraId="39D11770" w14:textId="77777777" w:rsidR="008017CD" w:rsidRPr="00E07875" w:rsidRDefault="008017CD" w:rsidP="008017CD">
      <w:pPr>
        <w:rPr>
          <w:rFonts w:cs="Arial"/>
          <w:b/>
        </w:rPr>
      </w:pPr>
    </w:p>
    <w:tbl>
      <w:tblPr>
        <w:tblStyle w:val="Tabelraster1"/>
        <w:tblW w:w="9091" w:type="dxa"/>
        <w:tblInd w:w="-5" w:type="dxa"/>
        <w:tblLook w:val="04A0" w:firstRow="1" w:lastRow="0" w:firstColumn="1" w:lastColumn="0" w:noHBand="0" w:noVBand="1"/>
      </w:tblPr>
      <w:tblGrid>
        <w:gridCol w:w="4536"/>
        <w:gridCol w:w="4555"/>
      </w:tblGrid>
      <w:tr w:rsidR="00240BBA" w:rsidRPr="00E07875" w14:paraId="4F229982" w14:textId="77777777" w:rsidTr="00240BBA">
        <w:trPr>
          <w:tblHeader/>
        </w:trPr>
        <w:tc>
          <w:tcPr>
            <w:tcW w:w="4536" w:type="dxa"/>
            <w:shd w:val="clear" w:color="auto" w:fill="8DB3E2" w:themeFill="text2" w:themeFillTint="66"/>
          </w:tcPr>
          <w:p w14:paraId="257CF79C" w14:textId="77777777" w:rsidR="008017CD" w:rsidRPr="00E07875" w:rsidRDefault="008017CD" w:rsidP="008017CD">
            <w:pPr>
              <w:rPr>
                <w:rFonts w:cs="Arial"/>
              </w:rPr>
            </w:pPr>
            <w:bookmarkStart w:id="1" w:name="_Hlk133316917"/>
            <w:r w:rsidRPr="00E07875">
              <w:rPr>
                <w:rFonts w:cs="Arial"/>
              </w:rPr>
              <w:t>Bestaande tekst</w:t>
            </w:r>
          </w:p>
        </w:tc>
        <w:tc>
          <w:tcPr>
            <w:tcW w:w="4555" w:type="dxa"/>
            <w:shd w:val="clear" w:color="auto" w:fill="8DB3E2" w:themeFill="text2" w:themeFillTint="66"/>
          </w:tcPr>
          <w:p w14:paraId="4633DFEE" w14:textId="77777777" w:rsidR="008017CD" w:rsidRPr="00E07875" w:rsidRDefault="008017CD" w:rsidP="008017CD">
            <w:pPr>
              <w:rPr>
                <w:rFonts w:cs="Arial"/>
              </w:rPr>
            </w:pPr>
            <w:r w:rsidRPr="00E07875">
              <w:rPr>
                <w:rFonts w:cs="Arial"/>
              </w:rPr>
              <w:t>Nieuwe tekst</w:t>
            </w:r>
          </w:p>
        </w:tc>
      </w:tr>
      <w:tr w:rsidR="00240BBA" w:rsidRPr="00E07875" w14:paraId="5205EEB5" w14:textId="77777777" w:rsidTr="00240BBA">
        <w:trPr>
          <w:trHeight w:val="692"/>
        </w:trPr>
        <w:tc>
          <w:tcPr>
            <w:tcW w:w="4536" w:type="dxa"/>
          </w:tcPr>
          <w:p w14:paraId="5CD1FFD5" w14:textId="77777777" w:rsidR="007300E4" w:rsidRPr="007300E4" w:rsidRDefault="007300E4" w:rsidP="007300E4">
            <w:pPr>
              <w:rPr>
                <w:rFonts w:cs="Arial"/>
                <w:b/>
              </w:rPr>
            </w:pPr>
            <w:bookmarkStart w:id="2" w:name="_Toc58857840"/>
            <w:bookmarkStart w:id="3" w:name="_Toc67564490"/>
            <w:bookmarkStart w:id="4" w:name="_Toc67654271"/>
            <w:bookmarkStart w:id="5" w:name="_Toc93438988"/>
            <w:r w:rsidRPr="007300E4">
              <w:rPr>
                <w:rFonts w:cs="Arial"/>
                <w:b/>
              </w:rPr>
              <w:t>Artikel 10 Overdracht van bevoegdheden</w:t>
            </w:r>
            <w:bookmarkEnd w:id="2"/>
            <w:bookmarkEnd w:id="3"/>
            <w:bookmarkEnd w:id="4"/>
            <w:bookmarkEnd w:id="5"/>
          </w:p>
          <w:p w14:paraId="7F50757A" w14:textId="77777777" w:rsidR="007300E4" w:rsidRPr="007300E4" w:rsidRDefault="007300E4" w:rsidP="007300E4">
            <w:pPr>
              <w:rPr>
                <w:rFonts w:cs="Arial"/>
              </w:rPr>
            </w:pPr>
            <w:r w:rsidRPr="007300E4">
              <w:rPr>
                <w:rFonts w:cs="Arial"/>
              </w:rPr>
              <w:t>[</w:t>
            </w:r>
            <w:r w:rsidRPr="007300E4">
              <w:rPr>
                <w:rFonts w:cs="Arial"/>
                <w:i/>
                <w:iCs/>
              </w:rPr>
              <w:t>1.</w:t>
            </w:r>
            <w:r w:rsidRPr="007300E4">
              <w:rPr>
                <w:rFonts w:cs="Arial"/>
              </w:rPr>
              <w:t>] Het college van burgemeester en wethouders is bevoegd tot het wijzigen van deze verordening, als de wijzigingen:</w:t>
            </w:r>
          </w:p>
          <w:p w14:paraId="4CB7C720" w14:textId="77777777" w:rsidR="007300E4" w:rsidRPr="007300E4" w:rsidRDefault="007300E4" w:rsidP="007300E4">
            <w:pPr>
              <w:rPr>
                <w:rFonts w:cs="Arial"/>
              </w:rPr>
            </w:pPr>
            <w:r w:rsidRPr="007300E4">
              <w:rPr>
                <w:rFonts w:cs="Arial"/>
              </w:rPr>
              <w:t>a. van zuiver redactionele aard zijn;</w:t>
            </w:r>
          </w:p>
          <w:p w14:paraId="415EEF91" w14:textId="77777777" w:rsidR="007300E4" w:rsidRPr="007300E4" w:rsidRDefault="007300E4" w:rsidP="007300E4">
            <w:pPr>
              <w:rPr>
                <w:rFonts w:cs="Arial"/>
              </w:rPr>
            </w:pPr>
            <w:r w:rsidRPr="007300E4">
              <w:rPr>
                <w:rFonts w:cs="Arial"/>
              </w:rPr>
              <w:t xml:space="preserve">b. een gevolg zijn van nieuwe of gewijzigde rijksregelgeving die in werking treedt binnen drie maanden na de officiële bekendmaking van de inwerkingtreding ervan in het Staatsblad of de Staatscourant en het de volgende paragrafen of artikelen van hoofdstuk 1 van de tarieventabel betreft: </w:t>
            </w:r>
          </w:p>
          <w:p w14:paraId="72195874" w14:textId="77777777" w:rsidR="007300E4" w:rsidRPr="007300E4" w:rsidRDefault="007300E4" w:rsidP="007300E4">
            <w:pPr>
              <w:rPr>
                <w:rFonts w:cs="Arial"/>
              </w:rPr>
            </w:pPr>
            <w:r w:rsidRPr="007300E4">
              <w:rPr>
                <w:rFonts w:cs="Arial"/>
              </w:rPr>
              <w:t>1. paragraaf 1.2 (reisdocumenten en Nederlandse identiteitskaart);</w:t>
            </w:r>
          </w:p>
          <w:p w14:paraId="51633E9E" w14:textId="77777777" w:rsidR="007300E4" w:rsidRPr="007300E4" w:rsidRDefault="007300E4" w:rsidP="007300E4">
            <w:pPr>
              <w:rPr>
                <w:rFonts w:cs="Arial"/>
              </w:rPr>
            </w:pPr>
            <w:r w:rsidRPr="007300E4">
              <w:rPr>
                <w:rFonts w:cs="Arial"/>
              </w:rPr>
              <w:t>2. paragraaf 1.3 (rijbewijzen);</w:t>
            </w:r>
          </w:p>
          <w:p w14:paraId="67662390" w14:textId="77777777" w:rsidR="007300E4" w:rsidRPr="007300E4" w:rsidRDefault="007300E4" w:rsidP="007300E4">
            <w:pPr>
              <w:rPr>
                <w:rFonts w:cs="Arial"/>
              </w:rPr>
            </w:pPr>
            <w:r w:rsidRPr="007300E4">
              <w:rPr>
                <w:rFonts w:cs="Arial"/>
              </w:rPr>
              <w:t xml:space="preserve">3. artikel </w:t>
            </w:r>
            <w:r w:rsidRPr="007300E4">
              <w:rPr>
                <w:rFonts w:cs="Arial"/>
                <w:i/>
                <w:iCs/>
              </w:rPr>
              <w:t>1.19</w:t>
            </w:r>
            <w:r w:rsidRPr="007300E4">
              <w:rPr>
                <w:rFonts w:cs="Arial"/>
              </w:rPr>
              <w:t xml:space="preserve"> (</w:t>
            </w:r>
            <w:r w:rsidRPr="0044309E">
              <w:rPr>
                <w:rFonts w:cs="Arial"/>
                <w:i/>
                <w:iCs/>
              </w:rPr>
              <w:t>papieren</w:t>
            </w:r>
            <w:r w:rsidRPr="007300E4">
              <w:rPr>
                <w:rFonts w:cs="Arial"/>
              </w:rPr>
              <w:t xml:space="preserve"> verstrekking uit de basisregistratie personen);</w:t>
            </w:r>
          </w:p>
          <w:p w14:paraId="546F484B" w14:textId="77777777" w:rsidR="007300E4" w:rsidRPr="007300E4" w:rsidRDefault="007300E4" w:rsidP="007300E4">
            <w:pPr>
              <w:rPr>
                <w:rFonts w:cs="Arial"/>
              </w:rPr>
            </w:pPr>
            <w:r w:rsidRPr="007300E4">
              <w:rPr>
                <w:rFonts w:cs="Arial"/>
              </w:rPr>
              <w:t xml:space="preserve">4. artikel </w:t>
            </w:r>
            <w:r w:rsidRPr="007300E4">
              <w:rPr>
                <w:rFonts w:cs="Arial"/>
                <w:i/>
                <w:iCs/>
              </w:rPr>
              <w:t>1.27</w:t>
            </w:r>
            <w:r w:rsidRPr="007300E4">
              <w:rPr>
                <w:rFonts w:cs="Arial"/>
              </w:rPr>
              <w:t>, onder a (verklaring omtrent het gedrag);</w:t>
            </w:r>
          </w:p>
          <w:p w14:paraId="4C353E30" w14:textId="77777777" w:rsidR="007300E4" w:rsidRPr="007300E4" w:rsidRDefault="007300E4" w:rsidP="007300E4">
            <w:pPr>
              <w:rPr>
                <w:rFonts w:cs="Arial"/>
              </w:rPr>
            </w:pPr>
            <w:r w:rsidRPr="007300E4">
              <w:rPr>
                <w:rFonts w:cs="Arial"/>
              </w:rPr>
              <w:t xml:space="preserve">5. artikel </w:t>
            </w:r>
            <w:r w:rsidRPr="007300E4">
              <w:rPr>
                <w:rFonts w:cs="Arial"/>
                <w:i/>
                <w:iCs/>
              </w:rPr>
              <w:t>1.33</w:t>
            </w:r>
            <w:r w:rsidRPr="007300E4">
              <w:rPr>
                <w:rFonts w:cs="Arial"/>
              </w:rPr>
              <w:t xml:space="preserve"> (Wet op de kansspelen);</w:t>
            </w:r>
          </w:p>
          <w:p w14:paraId="319F8238" w14:textId="77777777" w:rsidR="007300E4" w:rsidRPr="007300E4" w:rsidRDefault="007300E4" w:rsidP="007300E4">
            <w:pPr>
              <w:rPr>
                <w:rFonts w:cs="Arial"/>
              </w:rPr>
            </w:pPr>
            <w:r w:rsidRPr="007300E4">
              <w:rPr>
                <w:rFonts w:cs="Arial"/>
              </w:rPr>
              <w:t>een en ander voor zover met deze wijzigingen niet reeds bij het vaststellen of latere wijziging van deze verordening bij raadsbesluit rekening is gehouden.</w:t>
            </w:r>
          </w:p>
          <w:p w14:paraId="4F535C75" w14:textId="77777777" w:rsidR="007300E4" w:rsidRPr="007300E4" w:rsidRDefault="007300E4" w:rsidP="007300E4">
            <w:pPr>
              <w:rPr>
                <w:rFonts w:cs="Arial"/>
              </w:rPr>
            </w:pPr>
            <w:r w:rsidRPr="007300E4">
              <w:rPr>
                <w:rFonts w:cs="Arial"/>
              </w:rPr>
              <w:t>[</w:t>
            </w:r>
            <w:r w:rsidRPr="007300E4">
              <w:rPr>
                <w:rFonts w:cs="Arial"/>
                <w:i/>
                <w:iCs/>
              </w:rPr>
              <w:t>2. Het college van burgemeester en wethouders is bevoegd tot het wijzigen van de in artikel [</w:t>
            </w:r>
            <w:r w:rsidRPr="007300E4">
              <w:rPr>
                <w:rFonts w:cs="Arial"/>
                <w:b/>
                <w:i/>
                <w:iCs/>
              </w:rPr>
              <w:t>…</w:t>
            </w:r>
            <w:r w:rsidRPr="007300E4">
              <w:rPr>
                <w:rFonts w:cs="Arial"/>
                <w:i/>
                <w:iCs/>
              </w:rPr>
              <w:t>] van de tarieventabel genoemde [</w:t>
            </w:r>
            <w:r w:rsidRPr="007300E4">
              <w:rPr>
                <w:rFonts w:cs="Arial"/>
                <w:b/>
                <w:i/>
                <w:iCs/>
              </w:rPr>
              <w:t>naam bijlage of document</w:t>
            </w:r>
            <w:r w:rsidRPr="007300E4">
              <w:rPr>
                <w:rFonts w:cs="Arial"/>
                <w:i/>
                <w:iCs/>
              </w:rPr>
              <w:t>].</w:t>
            </w:r>
            <w:r w:rsidRPr="007300E4">
              <w:rPr>
                <w:rFonts w:cs="Arial"/>
              </w:rPr>
              <w:t>]</w:t>
            </w:r>
          </w:p>
          <w:p w14:paraId="381A9D60" w14:textId="7645481C" w:rsidR="00B94EDA" w:rsidRPr="0077152E" w:rsidRDefault="00B94EDA" w:rsidP="008F05E4">
            <w:pPr>
              <w:rPr>
                <w:rFonts w:cs="Arial"/>
              </w:rPr>
            </w:pPr>
          </w:p>
        </w:tc>
        <w:tc>
          <w:tcPr>
            <w:tcW w:w="4555" w:type="dxa"/>
          </w:tcPr>
          <w:p w14:paraId="6D7688C2" w14:textId="77777777" w:rsidR="007300E4" w:rsidRPr="007300E4" w:rsidRDefault="007300E4" w:rsidP="007300E4">
            <w:pPr>
              <w:rPr>
                <w:rFonts w:cs="Arial"/>
                <w:b/>
              </w:rPr>
            </w:pPr>
            <w:r w:rsidRPr="007300E4">
              <w:rPr>
                <w:rFonts w:cs="Arial"/>
                <w:b/>
              </w:rPr>
              <w:t>Artikel 10 Overdracht van bevoegdheden</w:t>
            </w:r>
          </w:p>
          <w:p w14:paraId="77695E5A" w14:textId="77777777" w:rsidR="007300E4" w:rsidRPr="007300E4" w:rsidRDefault="007300E4" w:rsidP="007300E4">
            <w:pPr>
              <w:rPr>
                <w:rFonts w:cs="Arial"/>
              </w:rPr>
            </w:pPr>
            <w:r w:rsidRPr="007300E4">
              <w:rPr>
                <w:rFonts w:cs="Arial"/>
              </w:rPr>
              <w:t>[</w:t>
            </w:r>
            <w:r w:rsidRPr="007300E4">
              <w:rPr>
                <w:rFonts w:cs="Arial"/>
                <w:i/>
                <w:iCs/>
              </w:rPr>
              <w:t>1.</w:t>
            </w:r>
            <w:r w:rsidRPr="007300E4">
              <w:rPr>
                <w:rFonts w:cs="Arial"/>
              </w:rPr>
              <w:t>] Het college van burgemeester en wethouders is bevoegd tot het wijzigen van deze verordening, als de wijzigingen:</w:t>
            </w:r>
          </w:p>
          <w:p w14:paraId="2055A7D8" w14:textId="77777777" w:rsidR="007300E4" w:rsidRPr="007300E4" w:rsidRDefault="007300E4" w:rsidP="007300E4">
            <w:pPr>
              <w:rPr>
                <w:rFonts w:cs="Arial"/>
              </w:rPr>
            </w:pPr>
            <w:r w:rsidRPr="007300E4">
              <w:rPr>
                <w:rFonts w:cs="Arial"/>
              </w:rPr>
              <w:t>a. van zuiver redactionele aard zijn;</w:t>
            </w:r>
          </w:p>
          <w:p w14:paraId="1114DAC5" w14:textId="77777777" w:rsidR="007300E4" w:rsidRPr="007300E4" w:rsidRDefault="007300E4" w:rsidP="007300E4">
            <w:pPr>
              <w:rPr>
                <w:rFonts w:cs="Arial"/>
              </w:rPr>
            </w:pPr>
            <w:r w:rsidRPr="007300E4">
              <w:rPr>
                <w:rFonts w:cs="Arial"/>
              </w:rPr>
              <w:t xml:space="preserve">b. een gevolg zijn van nieuwe of gewijzigde rijksregelgeving die in werking treedt binnen drie maanden na de officiële bekendmaking van de inwerkingtreding ervan in het Staatsblad of de Staatscourant en het de volgende paragrafen of artikelen van hoofdstuk 1 van de tarieventabel betreft: </w:t>
            </w:r>
          </w:p>
          <w:p w14:paraId="68196E1D" w14:textId="77777777" w:rsidR="007300E4" w:rsidRPr="007300E4" w:rsidRDefault="007300E4" w:rsidP="007300E4">
            <w:pPr>
              <w:rPr>
                <w:rFonts w:cs="Arial"/>
              </w:rPr>
            </w:pPr>
            <w:r w:rsidRPr="007300E4">
              <w:rPr>
                <w:rFonts w:cs="Arial"/>
              </w:rPr>
              <w:t>1. paragraaf 1.2 (reisdocumenten en Nederlandse identiteitskaart);</w:t>
            </w:r>
          </w:p>
          <w:p w14:paraId="32A2315E" w14:textId="77777777" w:rsidR="007300E4" w:rsidRPr="007300E4" w:rsidRDefault="007300E4" w:rsidP="007300E4">
            <w:pPr>
              <w:rPr>
                <w:rFonts w:cs="Arial"/>
              </w:rPr>
            </w:pPr>
            <w:r w:rsidRPr="007300E4">
              <w:rPr>
                <w:rFonts w:cs="Arial"/>
              </w:rPr>
              <w:t>2. paragraaf 1.3 (rijbewijzen);</w:t>
            </w:r>
          </w:p>
          <w:p w14:paraId="134CAD08" w14:textId="28466A26" w:rsidR="007300E4" w:rsidRPr="007300E4" w:rsidRDefault="007300E4" w:rsidP="007300E4">
            <w:pPr>
              <w:rPr>
                <w:rFonts w:cs="Arial"/>
              </w:rPr>
            </w:pPr>
            <w:r w:rsidRPr="007300E4">
              <w:rPr>
                <w:rFonts w:cs="Arial"/>
              </w:rPr>
              <w:t xml:space="preserve">3. artikel </w:t>
            </w:r>
            <w:r w:rsidRPr="007300E4">
              <w:rPr>
                <w:rFonts w:cs="Arial"/>
                <w:b/>
                <w:bCs/>
              </w:rPr>
              <w:t>1.17</w:t>
            </w:r>
            <w:r w:rsidRPr="007300E4">
              <w:rPr>
                <w:rFonts w:cs="Arial"/>
              </w:rPr>
              <w:t xml:space="preserve"> (</w:t>
            </w:r>
            <w:r w:rsidR="0044309E" w:rsidRPr="0044309E">
              <w:rPr>
                <w:rFonts w:cs="Arial"/>
                <w:b/>
                <w:bCs/>
              </w:rPr>
              <w:t>schriftelijke</w:t>
            </w:r>
            <w:r w:rsidRPr="007300E4">
              <w:rPr>
                <w:rFonts w:cs="Arial"/>
              </w:rPr>
              <w:t xml:space="preserve"> verstrekking uit de basisregistratie personen);</w:t>
            </w:r>
          </w:p>
          <w:p w14:paraId="7F96C320" w14:textId="7685FCF7" w:rsidR="007300E4" w:rsidRPr="007300E4" w:rsidRDefault="007300E4" w:rsidP="007300E4">
            <w:pPr>
              <w:rPr>
                <w:rFonts w:cs="Arial"/>
              </w:rPr>
            </w:pPr>
            <w:r w:rsidRPr="007300E4">
              <w:rPr>
                <w:rFonts w:cs="Arial"/>
              </w:rPr>
              <w:t xml:space="preserve">4. artikel </w:t>
            </w:r>
            <w:r w:rsidRPr="007300E4">
              <w:rPr>
                <w:rFonts w:cs="Arial"/>
                <w:b/>
                <w:bCs/>
              </w:rPr>
              <w:t>1.25</w:t>
            </w:r>
            <w:r w:rsidRPr="007300E4">
              <w:rPr>
                <w:rFonts w:cs="Arial"/>
              </w:rPr>
              <w:t>, onder a (verklaring omtrent het gedrag);</w:t>
            </w:r>
          </w:p>
          <w:p w14:paraId="55C89DCE" w14:textId="689383FB" w:rsidR="007300E4" w:rsidRPr="007300E4" w:rsidRDefault="007300E4" w:rsidP="007300E4">
            <w:pPr>
              <w:rPr>
                <w:rFonts w:cs="Arial"/>
              </w:rPr>
            </w:pPr>
            <w:r w:rsidRPr="007300E4">
              <w:rPr>
                <w:rFonts w:cs="Arial"/>
              </w:rPr>
              <w:t xml:space="preserve">5. artikel </w:t>
            </w:r>
            <w:r w:rsidRPr="007300E4">
              <w:rPr>
                <w:rFonts w:cs="Arial"/>
                <w:b/>
                <w:bCs/>
              </w:rPr>
              <w:t>1.31</w:t>
            </w:r>
            <w:r w:rsidRPr="007300E4">
              <w:rPr>
                <w:rFonts w:cs="Arial"/>
              </w:rPr>
              <w:t xml:space="preserve"> (Wet op de kansspelen);</w:t>
            </w:r>
          </w:p>
          <w:p w14:paraId="0C5AD95B" w14:textId="77777777" w:rsidR="007300E4" w:rsidRPr="007300E4" w:rsidRDefault="007300E4" w:rsidP="007300E4">
            <w:pPr>
              <w:rPr>
                <w:rFonts w:cs="Arial"/>
              </w:rPr>
            </w:pPr>
            <w:r w:rsidRPr="007300E4">
              <w:rPr>
                <w:rFonts w:cs="Arial"/>
              </w:rPr>
              <w:t>een en ander voor zover met deze wijzigingen niet reeds bij het vaststellen of latere wijziging van deze verordening bij raadsbesluit rekening is gehouden.</w:t>
            </w:r>
          </w:p>
          <w:p w14:paraId="145132A8" w14:textId="77777777" w:rsidR="007300E4" w:rsidRPr="007300E4" w:rsidRDefault="007300E4" w:rsidP="007300E4">
            <w:pPr>
              <w:rPr>
                <w:rFonts w:cs="Arial"/>
              </w:rPr>
            </w:pPr>
            <w:r w:rsidRPr="007300E4">
              <w:rPr>
                <w:rFonts w:cs="Arial"/>
              </w:rPr>
              <w:t>[</w:t>
            </w:r>
            <w:r w:rsidRPr="007300E4">
              <w:rPr>
                <w:rFonts w:cs="Arial"/>
                <w:i/>
                <w:iCs/>
              </w:rPr>
              <w:t>2. Het college van burgemeester en wethouders is bevoegd tot het wijzigen van de in artikel [</w:t>
            </w:r>
            <w:r w:rsidRPr="007300E4">
              <w:rPr>
                <w:rFonts w:cs="Arial"/>
                <w:b/>
                <w:i/>
                <w:iCs/>
              </w:rPr>
              <w:t>…</w:t>
            </w:r>
            <w:r w:rsidRPr="007300E4">
              <w:rPr>
                <w:rFonts w:cs="Arial"/>
                <w:i/>
                <w:iCs/>
              </w:rPr>
              <w:t>] van de tarieventabel genoemde [</w:t>
            </w:r>
            <w:r w:rsidRPr="007300E4">
              <w:rPr>
                <w:rFonts w:cs="Arial"/>
                <w:b/>
                <w:i/>
                <w:iCs/>
              </w:rPr>
              <w:t>naam bijlage of document</w:t>
            </w:r>
            <w:r w:rsidRPr="007300E4">
              <w:rPr>
                <w:rFonts w:cs="Arial"/>
                <w:i/>
                <w:iCs/>
              </w:rPr>
              <w:t>].</w:t>
            </w:r>
            <w:r w:rsidRPr="007300E4">
              <w:rPr>
                <w:rFonts w:cs="Arial"/>
              </w:rPr>
              <w:t>]</w:t>
            </w:r>
          </w:p>
          <w:p w14:paraId="7014336E" w14:textId="26556552" w:rsidR="00731BB3" w:rsidRPr="0077152E" w:rsidRDefault="00731BB3" w:rsidP="008F05E4">
            <w:pPr>
              <w:rPr>
                <w:rFonts w:cs="Arial"/>
              </w:rPr>
            </w:pPr>
          </w:p>
        </w:tc>
      </w:tr>
      <w:tr w:rsidR="00240BBA" w:rsidRPr="00E07875" w14:paraId="3B3DF364" w14:textId="77777777" w:rsidTr="00B36E02">
        <w:trPr>
          <w:trHeight w:val="408"/>
        </w:trPr>
        <w:tc>
          <w:tcPr>
            <w:tcW w:w="4536" w:type="dxa"/>
          </w:tcPr>
          <w:p w14:paraId="26A1E307" w14:textId="77777777" w:rsidR="007300E4" w:rsidRDefault="007300E4" w:rsidP="007300E4">
            <w:pPr>
              <w:rPr>
                <w:rFonts w:cs="Arial"/>
                <w:b/>
                <w:color w:val="A6A6A6" w:themeColor="background1" w:themeShade="A6"/>
              </w:rPr>
            </w:pPr>
            <w:r w:rsidRPr="00B36E02">
              <w:rPr>
                <w:rFonts w:cs="Arial"/>
                <w:b/>
                <w:color w:val="A6A6A6" w:themeColor="background1" w:themeShade="A6"/>
              </w:rPr>
              <w:t>Tarieventabel</w:t>
            </w:r>
          </w:p>
          <w:p w14:paraId="4AF372EA" w14:textId="0E19CE9D" w:rsidR="00BE4DE6" w:rsidRPr="00B36E02" w:rsidRDefault="00BE4DE6" w:rsidP="007300E4">
            <w:pPr>
              <w:rPr>
                <w:rFonts w:cs="Arial"/>
                <w:b/>
                <w:color w:val="A6A6A6" w:themeColor="background1" w:themeShade="A6"/>
              </w:rPr>
            </w:pPr>
          </w:p>
        </w:tc>
        <w:tc>
          <w:tcPr>
            <w:tcW w:w="4555" w:type="dxa"/>
          </w:tcPr>
          <w:p w14:paraId="31AE7BF0" w14:textId="77777777" w:rsidR="007300E4" w:rsidRDefault="00B36E02" w:rsidP="008F05E4">
            <w:pPr>
              <w:rPr>
                <w:rFonts w:cs="Arial"/>
                <w:b/>
                <w:bCs/>
                <w:color w:val="A6A6A6" w:themeColor="background1" w:themeShade="A6"/>
              </w:rPr>
            </w:pPr>
            <w:r w:rsidRPr="00B36E02">
              <w:rPr>
                <w:rFonts w:cs="Arial"/>
                <w:b/>
                <w:bCs/>
                <w:color w:val="A6A6A6" w:themeColor="background1" w:themeShade="A6"/>
              </w:rPr>
              <w:t>Tarieventabel</w:t>
            </w:r>
          </w:p>
          <w:p w14:paraId="788C58F7" w14:textId="4F9E649A" w:rsidR="00BE4DE6" w:rsidRPr="00B36E02" w:rsidRDefault="00BE4DE6" w:rsidP="008F05E4">
            <w:pPr>
              <w:rPr>
                <w:rFonts w:cs="Arial"/>
                <w:b/>
                <w:bCs/>
                <w:color w:val="A6A6A6" w:themeColor="background1" w:themeShade="A6"/>
              </w:rPr>
            </w:pPr>
          </w:p>
        </w:tc>
      </w:tr>
      <w:tr w:rsidR="00240BBA" w:rsidRPr="00E07875" w14:paraId="6F4AC14C" w14:textId="77777777" w:rsidTr="00B36E02">
        <w:trPr>
          <w:trHeight w:val="8073"/>
        </w:trPr>
        <w:tc>
          <w:tcPr>
            <w:tcW w:w="4536" w:type="dxa"/>
          </w:tcPr>
          <w:tbl>
            <w:tblPr>
              <w:tblpPr w:leftFromText="141" w:rightFromText="141" w:vertAnchor="text" w:tblpY="1"/>
              <w:tblOverlap w:val="never"/>
              <w:tblW w:w="410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3402"/>
              <w:gridCol w:w="425"/>
            </w:tblGrid>
            <w:tr w:rsidR="00240BBA" w:rsidRPr="00D55A31" w14:paraId="46D10564" w14:textId="77777777" w:rsidTr="00240BBA">
              <w:trPr>
                <w:tblCellSpacing w:w="0" w:type="dxa"/>
              </w:trPr>
              <w:tc>
                <w:tcPr>
                  <w:tcW w:w="3678" w:type="dxa"/>
                  <w:gridSpan w:val="2"/>
                  <w:tcBorders>
                    <w:top w:val="outset" w:sz="6" w:space="0" w:color="auto"/>
                    <w:left w:val="outset" w:sz="6" w:space="0" w:color="auto"/>
                    <w:bottom w:val="outset" w:sz="6" w:space="0" w:color="auto"/>
                    <w:right w:val="outset" w:sz="6" w:space="0" w:color="auto"/>
                  </w:tcBorders>
                </w:tcPr>
                <w:p w14:paraId="3CBA3AB2" w14:textId="77777777" w:rsidR="00240BBA" w:rsidRPr="00B36E02" w:rsidRDefault="00240BBA" w:rsidP="00B36E02">
                  <w:pPr>
                    <w:rPr>
                      <w:b/>
                      <w:bCs/>
                    </w:rPr>
                  </w:pPr>
                  <w:bookmarkStart w:id="6" w:name="_Toc58857942"/>
                  <w:bookmarkStart w:id="7" w:name="_Toc67564601"/>
                  <w:bookmarkStart w:id="8" w:name="_Toc67654382"/>
                  <w:bookmarkStart w:id="9" w:name="_Toc93439101"/>
                  <w:r w:rsidRPr="00B36E02">
                    <w:rPr>
                      <w:b/>
                      <w:bCs/>
                    </w:rPr>
                    <w:lastRenderedPageBreak/>
                    <w:t>Artikel 2.51 Instemming</w:t>
                  </w:r>
                  <w:bookmarkEnd w:id="6"/>
                  <w:bookmarkEnd w:id="7"/>
                  <w:bookmarkEnd w:id="8"/>
                  <w:bookmarkEnd w:id="9"/>
                </w:p>
              </w:tc>
              <w:tc>
                <w:tcPr>
                  <w:tcW w:w="425" w:type="dxa"/>
                  <w:tcBorders>
                    <w:top w:val="outset" w:sz="6" w:space="0" w:color="auto"/>
                    <w:left w:val="outset" w:sz="6" w:space="0" w:color="auto"/>
                    <w:bottom w:val="outset" w:sz="6" w:space="0" w:color="auto"/>
                    <w:right w:val="outset" w:sz="6" w:space="0" w:color="auto"/>
                  </w:tcBorders>
                  <w:vAlign w:val="bottom"/>
                </w:tcPr>
                <w:p w14:paraId="4F6A9488" w14:textId="77777777" w:rsidR="00240BBA" w:rsidRPr="00D55A31" w:rsidRDefault="00240BBA" w:rsidP="00240BBA">
                  <w:pPr>
                    <w:rPr>
                      <w:rFonts w:eastAsiaTheme="majorEastAsia"/>
                    </w:rPr>
                  </w:pPr>
                  <w:r w:rsidRPr="00D55A31">
                    <w:rPr>
                      <w:rFonts w:eastAsiaTheme="majorEastAsia"/>
                    </w:rPr>
                    <w:t> </w:t>
                  </w:r>
                </w:p>
              </w:tc>
            </w:tr>
            <w:tr w:rsidR="00240BBA" w:rsidRPr="00D55A31" w14:paraId="168C0664" w14:textId="77777777" w:rsidTr="00240BBA">
              <w:trPr>
                <w:tblCellSpacing w:w="0" w:type="dxa"/>
              </w:trPr>
              <w:tc>
                <w:tcPr>
                  <w:tcW w:w="276" w:type="dxa"/>
                  <w:tcBorders>
                    <w:top w:val="outset" w:sz="6" w:space="0" w:color="auto"/>
                    <w:left w:val="outset" w:sz="6" w:space="0" w:color="auto"/>
                    <w:bottom w:val="outset" w:sz="6" w:space="0" w:color="auto"/>
                    <w:right w:val="outset" w:sz="6" w:space="0" w:color="auto"/>
                  </w:tcBorders>
                </w:tcPr>
                <w:p w14:paraId="5BC89AF4" w14:textId="77777777" w:rsidR="00240BBA" w:rsidRPr="00D55A31" w:rsidRDefault="00240BBA" w:rsidP="00240BBA">
                  <w:pPr>
                    <w:rPr>
                      <w:rFonts w:eastAsiaTheme="majorEastAsia"/>
                    </w:rPr>
                  </w:pPr>
                  <w:r>
                    <w:rPr>
                      <w:rFonts w:eastAsiaTheme="majorEastAsia"/>
                    </w:rPr>
                    <w:t>1.</w:t>
                  </w:r>
                </w:p>
              </w:tc>
              <w:tc>
                <w:tcPr>
                  <w:tcW w:w="3402" w:type="dxa"/>
                  <w:tcBorders>
                    <w:top w:val="outset" w:sz="6" w:space="0" w:color="auto"/>
                    <w:left w:val="outset" w:sz="6" w:space="0" w:color="auto"/>
                    <w:bottom w:val="outset" w:sz="6" w:space="0" w:color="auto"/>
                    <w:right w:val="outset" w:sz="6" w:space="0" w:color="auto"/>
                  </w:tcBorders>
                  <w:vAlign w:val="center"/>
                </w:tcPr>
                <w:p w14:paraId="39ED6360" w14:textId="77777777" w:rsidR="00240BBA" w:rsidRPr="00D55A31" w:rsidRDefault="00240BBA" w:rsidP="00240BBA">
                  <w:pPr>
                    <w:rPr>
                      <w:rFonts w:eastAsiaTheme="majorEastAsia"/>
                    </w:rPr>
                  </w:pPr>
                  <w:r w:rsidRPr="00D55A31">
                    <w:rPr>
                      <w:rFonts w:eastAsiaTheme="majorEastAsia"/>
                    </w:rPr>
                    <w:t xml:space="preserve">Onverminderd het bepaalde in de andere </w:t>
                  </w:r>
                  <w:r>
                    <w:rPr>
                      <w:rFonts w:eastAsiaTheme="majorEastAsia"/>
                    </w:rPr>
                    <w:t>artikelen</w:t>
                  </w:r>
                  <w:r w:rsidRPr="00D55A31">
                    <w:rPr>
                      <w:rFonts w:eastAsiaTheme="majorEastAsia"/>
                    </w:rPr>
                    <w:t xml:space="preserve"> van dit hoofdstuk bedraagt het tarief, als een aanvraag </w:t>
                  </w:r>
                  <w:r>
                    <w:rPr>
                      <w:rFonts w:eastAsiaTheme="majorEastAsia"/>
                    </w:rPr>
                    <w:t xml:space="preserve">om een omgevingsvergunning of een ander besluit op grond van de Omgevingswet </w:t>
                  </w:r>
                  <w:r w:rsidRPr="00D55A31">
                    <w:rPr>
                      <w:rFonts w:eastAsiaTheme="majorEastAsia"/>
                    </w:rPr>
                    <w:t>betrekking heeft op een activiteit waarvoor de beslissing op de aanvraag op grond van artikel 16.16 van de Omgevingswet instemming behoeft van een bestuursorgaan:</w:t>
                  </w:r>
                </w:p>
              </w:tc>
              <w:tc>
                <w:tcPr>
                  <w:tcW w:w="425" w:type="dxa"/>
                  <w:tcBorders>
                    <w:top w:val="outset" w:sz="6" w:space="0" w:color="auto"/>
                    <w:left w:val="outset" w:sz="6" w:space="0" w:color="auto"/>
                    <w:bottom w:val="outset" w:sz="6" w:space="0" w:color="auto"/>
                    <w:right w:val="outset" w:sz="6" w:space="0" w:color="auto"/>
                  </w:tcBorders>
                  <w:vAlign w:val="bottom"/>
                </w:tcPr>
                <w:p w14:paraId="630A2075" w14:textId="77777777" w:rsidR="00240BBA" w:rsidRPr="00D55A31" w:rsidRDefault="00240BBA" w:rsidP="00240BBA">
                  <w:pPr>
                    <w:rPr>
                      <w:rFonts w:eastAsiaTheme="majorEastAsia"/>
                    </w:rPr>
                  </w:pPr>
                </w:p>
              </w:tc>
            </w:tr>
            <w:tr w:rsidR="00240BBA" w:rsidRPr="00D55A31" w14:paraId="7A810E77" w14:textId="77777777" w:rsidTr="00240BBA">
              <w:trPr>
                <w:trHeight w:val="633"/>
                <w:tblCellSpacing w:w="0" w:type="dxa"/>
              </w:trPr>
              <w:tc>
                <w:tcPr>
                  <w:tcW w:w="276" w:type="dxa"/>
                  <w:tcBorders>
                    <w:top w:val="outset" w:sz="6" w:space="0" w:color="auto"/>
                    <w:left w:val="outset" w:sz="6" w:space="0" w:color="auto"/>
                    <w:right w:val="outset" w:sz="6" w:space="0" w:color="auto"/>
                  </w:tcBorders>
                </w:tcPr>
                <w:p w14:paraId="14DDF4A9" w14:textId="77777777" w:rsidR="00240BBA" w:rsidRPr="00D55A31" w:rsidRDefault="00240BBA" w:rsidP="00240BBA">
                  <w:pPr>
                    <w:rPr>
                      <w:rFonts w:eastAsiaTheme="majorEastAsia"/>
                    </w:rPr>
                  </w:pPr>
                </w:p>
              </w:tc>
              <w:tc>
                <w:tcPr>
                  <w:tcW w:w="3402" w:type="dxa"/>
                  <w:tcBorders>
                    <w:top w:val="outset" w:sz="6" w:space="0" w:color="auto"/>
                    <w:left w:val="outset" w:sz="6" w:space="0" w:color="auto"/>
                    <w:right w:val="outset" w:sz="6" w:space="0" w:color="auto"/>
                  </w:tcBorders>
                </w:tcPr>
                <w:p w14:paraId="21FFB211" w14:textId="77777777" w:rsidR="00240BBA" w:rsidRPr="00D55A31" w:rsidRDefault="00240BBA" w:rsidP="00240BBA">
                  <w:pPr>
                    <w:rPr>
                      <w:rFonts w:eastAsiaTheme="majorEastAsia"/>
                    </w:rPr>
                  </w:pPr>
                  <w:r w:rsidRPr="00D55A31">
                    <w:rPr>
                      <w:rFonts w:eastAsiaTheme="majorEastAsia"/>
                    </w:rPr>
                    <w:t>het bedrag dat dit bestuursorgaan aan rechten zou heffen als het voor de activiteit waarvoor instemming wordt verzocht zelf bevoegd gezag zou zijn.</w:t>
                  </w:r>
                </w:p>
              </w:tc>
              <w:tc>
                <w:tcPr>
                  <w:tcW w:w="425" w:type="dxa"/>
                  <w:tcBorders>
                    <w:top w:val="outset" w:sz="6" w:space="0" w:color="auto"/>
                    <w:left w:val="outset" w:sz="6" w:space="0" w:color="auto"/>
                    <w:right w:val="outset" w:sz="6" w:space="0" w:color="auto"/>
                  </w:tcBorders>
                  <w:vAlign w:val="bottom"/>
                </w:tcPr>
                <w:p w14:paraId="695EF244" w14:textId="77777777" w:rsidR="00240BBA" w:rsidRPr="00D55A31" w:rsidRDefault="00240BBA" w:rsidP="00240BBA">
                  <w:pPr>
                    <w:rPr>
                      <w:rFonts w:eastAsiaTheme="majorEastAsia"/>
                    </w:rPr>
                  </w:pPr>
                </w:p>
              </w:tc>
            </w:tr>
            <w:tr w:rsidR="00240BBA" w:rsidRPr="00D55A31" w14:paraId="5A42F700" w14:textId="77777777" w:rsidTr="00240BBA">
              <w:trPr>
                <w:tblCellSpacing w:w="0" w:type="dxa"/>
              </w:trPr>
              <w:tc>
                <w:tcPr>
                  <w:tcW w:w="276" w:type="dxa"/>
                  <w:tcBorders>
                    <w:top w:val="outset" w:sz="6" w:space="0" w:color="auto"/>
                    <w:left w:val="outset" w:sz="6" w:space="0" w:color="auto"/>
                    <w:bottom w:val="outset" w:sz="6" w:space="0" w:color="auto"/>
                    <w:right w:val="outset" w:sz="6" w:space="0" w:color="auto"/>
                  </w:tcBorders>
                </w:tcPr>
                <w:p w14:paraId="4414DD6C" w14:textId="77777777" w:rsidR="00240BBA" w:rsidRPr="00D55A31" w:rsidRDefault="00240BBA" w:rsidP="00240BBA">
                  <w:pPr>
                    <w:rPr>
                      <w:rFonts w:eastAsiaTheme="majorEastAsia"/>
                    </w:rPr>
                  </w:pPr>
                  <w:r>
                    <w:rPr>
                      <w:rFonts w:eastAsiaTheme="majorEastAsia"/>
                    </w:rPr>
                    <w:t>2.</w:t>
                  </w:r>
                </w:p>
              </w:tc>
              <w:tc>
                <w:tcPr>
                  <w:tcW w:w="3402" w:type="dxa"/>
                  <w:tcBorders>
                    <w:top w:val="outset" w:sz="6" w:space="0" w:color="auto"/>
                    <w:left w:val="outset" w:sz="6" w:space="0" w:color="auto"/>
                    <w:bottom w:val="outset" w:sz="6" w:space="0" w:color="auto"/>
                    <w:right w:val="outset" w:sz="6" w:space="0" w:color="auto"/>
                  </w:tcBorders>
                  <w:vAlign w:val="center"/>
                </w:tcPr>
                <w:p w14:paraId="6F7F4B2D" w14:textId="77777777" w:rsidR="00240BBA" w:rsidRPr="004F1FD5" w:rsidRDefault="00240BBA" w:rsidP="00240BBA">
                  <w:pPr>
                    <w:rPr>
                      <w:rFonts w:eastAsiaTheme="majorEastAsia"/>
                    </w:rPr>
                  </w:pPr>
                  <w:r w:rsidRPr="00E108BB">
                    <w:rPr>
                      <w:rFonts w:eastAsiaTheme="majorEastAsia"/>
                    </w:rPr>
                    <w:t xml:space="preserve">Het bedrag bedoeld </w:t>
                  </w:r>
                  <w:bookmarkStart w:id="10" w:name="_Hlk147756015"/>
                  <w:r w:rsidRPr="00E108BB">
                    <w:rPr>
                      <w:rFonts w:eastAsiaTheme="majorEastAsia"/>
                    </w:rPr>
                    <w:t>in het eerste lid</w:t>
                  </w:r>
                  <w:r w:rsidRPr="00B36E02">
                    <w:rPr>
                      <w:rFonts w:eastAsiaTheme="majorEastAsia"/>
                      <w:i/>
                      <w:iCs/>
                    </w:rPr>
                    <w:t>, onder b,</w:t>
                  </w:r>
                  <w:r w:rsidRPr="00E108BB">
                    <w:rPr>
                      <w:rFonts w:eastAsiaTheme="majorEastAsia"/>
                    </w:rPr>
                    <w:t xml:space="preserve"> </w:t>
                  </w:r>
                  <w:bookmarkEnd w:id="10"/>
                  <w:r>
                    <w:rPr>
                      <w:rFonts w:eastAsiaTheme="majorEastAsia"/>
                    </w:rPr>
                    <w:t>w</w:t>
                  </w:r>
                  <w:r w:rsidRPr="004F1FD5">
                    <w:rPr>
                      <w:rFonts w:eastAsiaTheme="majorEastAsia"/>
                    </w:rPr>
                    <w:t>ordt voorafgaand aan het in behandeling nemen van de aanvraag aan de aanvrager meegedeeld. De aanvraag wordt dan in behandeling genomen op de vijfde werkdag na de dag waarop het verschuldigde bedrag aan de aanvrager ter kennis is gebracht, tenzij de aanvraag voor deze vijfde werkdag schriftelijk is ingetrokken.</w:t>
                  </w:r>
                </w:p>
              </w:tc>
              <w:tc>
                <w:tcPr>
                  <w:tcW w:w="425" w:type="dxa"/>
                  <w:tcBorders>
                    <w:top w:val="outset" w:sz="6" w:space="0" w:color="auto"/>
                    <w:left w:val="outset" w:sz="6" w:space="0" w:color="auto"/>
                    <w:bottom w:val="outset" w:sz="6" w:space="0" w:color="auto"/>
                    <w:right w:val="outset" w:sz="6" w:space="0" w:color="auto"/>
                  </w:tcBorders>
                  <w:vAlign w:val="bottom"/>
                </w:tcPr>
                <w:p w14:paraId="0174007A" w14:textId="77777777" w:rsidR="00240BBA" w:rsidRPr="00D55A31" w:rsidRDefault="00240BBA" w:rsidP="00240BBA">
                  <w:pPr>
                    <w:rPr>
                      <w:rFonts w:eastAsiaTheme="majorEastAsia"/>
                    </w:rPr>
                  </w:pPr>
                  <w:r w:rsidRPr="00D55A31">
                    <w:rPr>
                      <w:rFonts w:eastAsiaTheme="majorEastAsia"/>
                    </w:rPr>
                    <w:t> </w:t>
                  </w:r>
                </w:p>
              </w:tc>
            </w:tr>
          </w:tbl>
          <w:p w14:paraId="3B7D920B" w14:textId="77777777" w:rsidR="007300E4" w:rsidRPr="007300E4" w:rsidRDefault="007300E4" w:rsidP="007300E4">
            <w:pPr>
              <w:rPr>
                <w:rFonts w:cs="Arial"/>
                <w:b/>
              </w:rPr>
            </w:pPr>
          </w:p>
        </w:tc>
        <w:tc>
          <w:tcPr>
            <w:tcW w:w="4555" w:type="dxa"/>
          </w:tcPr>
          <w:tbl>
            <w:tblPr>
              <w:tblpPr w:leftFromText="141" w:rightFromText="141" w:vertAnchor="text" w:tblpY="1"/>
              <w:tblOverlap w:val="never"/>
              <w:tblW w:w="410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3402"/>
              <w:gridCol w:w="425"/>
            </w:tblGrid>
            <w:tr w:rsidR="00B36E02" w:rsidRPr="00D55A31" w14:paraId="6DE6F164" w14:textId="77777777" w:rsidTr="00390151">
              <w:trPr>
                <w:tblCellSpacing w:w="0" w:type="dxa"/>
              </w:trPr>
              <w:tc>
                <w:tcPr>
                  <w:tcW w:w="3678" w:type="dxa"/>
                  <w:gridSpan w:val="2"/>
                  <w:tcBorders>
                    <w:top w:val="outset" w:sz="6" w:space="0" w:color="auto"/>
                    <w:left w:val="outset" w:sz="6" w:space="0" w:color="auto"/>
                    <w:bottom w:val="outset" w:sz="6" w:space="0" w:color="auto"/>
                    <w:right w:val="outset" w:sz="6" w:space="0" w:color="auto"/>
                  </w:tcBorders>
                </w:tcPr>
                <w:p w14:paraId="0A260DEE" w14:textId="77777777" w:rsidR="00B36E02" w:rsidRPr="00B36E02" w:rsidRDefault="00B36E02" w:rsidP="00B36E02">
                  <w:pPr>
                    <w:rPr>
                      <w:b/>
                      <w:bCs/>
                    </w:rPr>
                  </w:pPr>
                  <w:r w:rsidRPr="00B36E02">
                    <w:rPr>
                      <w:b/>
                      <w:bCs/>
                    </w:rPr>
                    <w:t>Artikel 2.51 Instemming</w:t>
                  </w:r>
                </w:p>
              </w:tc>
              <w:tc>
                <w:tcPr>
                  <w:tcW w:w="425" w:type="dxa"/>
                  <w:tcBorders>
                    <w:top w:val="outset" w:sz="6" w:space="0" w:color="auto"/>
                    <w:left w:val="outset" w:sz="6" w:space="0" w:color="auto"/>
                    <w:bottom w:val="outset" w:sz="6" w:space="0" w:color="auto"/>
                    <w:right w:val="outset" w:sz="6" w:space="0" w:color="auto"/>
                  </w:tcBorders>
                  <w:vAlign w:val="bottom"/>
                </w:tcPr>
                <w:p w14:paraId="70F1235F" w14:textId="77777777" w:rsidR="00B36E02" w:rsidRPr="00D55A31" w:rsidRDefault="00B36E02" w:rsidP="00B36E02">
                  <w:pPr>
                    <w:rPr>
                      <w:rFonts w:eastAsiaTheme="majorEastAsia"/>
                    </w:rPr>
                  </w:pPr>
                  <w:r w:rsidRPr="00D55A31">
                    <w:rPr>
                      <w:rFonts w:eastAsiaTheme="majorEastAsia"/>
                    </w:rPr>
                    <w:t> </w:t>
                  </w:r>
                </w:p>
              </w:tc>
            </w:tr>
            <w:tr w:rsidR="00B36E02" w:rsidRPr="00D55A31" w14:paraId="611C3D8D" w14:textId="77777777" w:rsidTr="003901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4FC76929" w14:textId="77777777" w:rsidR="00B36E02" w:rsidRPr="00D55A31" w:rsidRDefault="00B36E02" w:rsidP="00B36E02">
                  <w:pPr>
                    <w:rPr>
                      <w:rFonts w:eastAsiaTheme="majorEastAsia"/>
                    </w:rPr>
                  </w:pPr>
                  <w:r>
                    <w:rPr>
                      <w:rFonts w:eastAsiaTheme="majorEastAsia"/>
                    </w:rPr>
                    <w:t>1.</w:t>
                  </w:r>
                </w:p>
              </w:tc>
              <w:tc>
                <w:tcPr>
                  <w:tcW w:w="3402" w:type="dxa"/>
                  <w:tcBorders>
                    <w:top w:val="outset" w:sz="6" w:space="0" w:color="auto"/>
                    <w:left w:val="outset" w:sz="6" w:space="0" w:color="auto"/>
                    <w:bottom w:val="outset" w:sz="6" w:space="0" w:color="auto"/>
                    <w:right w:val="outset" w:sz="6" w:space="0" w:color="auto"/>
                  </w:tcBorders>
                  <w:vAlign w:val="center"/>
                </w:tcPr>
                <w:p w14:paraId="301A3006" w14:textId="77777777" w:rsidR="00B36E02" w:rsidRPr="00D55A31" w:rsidRDefault="00B36E02" w:rsidP="00B36E02">
                  <w:pPr>
                    <w:rPr>
                      <w:rFonts w:eastAsiaTheme="majorEastAsia"/>
                    </w:rPr>
                  </w:pPr>
                  <w:r w:rsidRPr="00D55A31">
                    <w:rPr>
                      <w:rFonts w:eastAsiaTheme="majorEastAsia"/>
                    </w:rPr>
                    <w:t xml:space="preserve">Onverminderd het bepaalde in de andere </w:t>
                  </w:r>
                  <w:r>
                    <w:rPr>
                      <w:rFonts w:eastAsiaTheme="majorEastAsia"/>
                    </w:rPr>
                    <w:t>artikelen</w:t>
                  </w:r>
                  <w:r w:rsidRPr="00D55A31">
                    <w:rPr>
                      <w:rFonts w:eastAsiaTheme="majorEastAsia"/>
                    </w:rPr>
                    <w:t xml:space="preserve"> van dit hoofdstuk bedraagt het tarief, als een aanvraag </w:t>
                  </w:r>
                  <w:r>
                    <w:rPr>
                      <w:rFonts w:eastAsiaTheme="majorEastAsia"/>
                    </w:rPr>
                    <w:t xml:space="preserve">om een omgevingsvergunning of een ander besluit op grond van de Omgevingswet </w:t>
                  </w:r>
                  <w:r w:rsidRPr="00D55A31">
                    <w:rPr>
                      <w:rFonts w:eastAsiaTheme="majorEastAsia"/>
                    </w:rPr>
                    <w:t>betrekking heeft op een activiteit waarvoor de beslissing op de aanvraag op grond van artikel 16.16 van de Omgevingswet instemming behoeft van een bestuursorgaan:</w:t>
                  </w:r>
                </w:p>
              </w:tc>
              <w:tc>
                <w:tcPr>
                  <w:tcW w:w="425" w:type="dxa"/>
                  <w:tcBorders>
                    <w:top w:val="outset" w:sz="6" w:space="0" w:color="auto"/>
                    <w:left w:val="outset" w:sz="6" w:space="0" w:color="auto"/>
                    <w:bottom w:val="outset" w:sz="6" w:space="0" w:color="auto"/>
                    <w:right w:val="outset" w:sz="6" w:space="0" w:color="auto"/>
                  </w:tcBorders>
                  <w:vAlign w:val="bottom"/>
                </w:tcPr>
                <w:p w14:paraId="77B11FC2" w14:textId="77777777" w:rsidR="00B36E02" w:rsidRPr="00D55A31" w:rsidRDefault="00B36E02" w:rsidP="00B36E02">
                  <w:pPr>
                    <w:rPr>
                      <w:rFonts w:eastAsiaTheme="majorEastAsia"/>
                    </w:rPr>
                  </w:pPr>
                </w:p>
              </w:tc>
            </w:tr>
            <w:tr w:rsidR="00B36E02" w:rsidRPr="00D55A31" w14:paraId="58ACAF23" w14:textId="77777777" w:rsidTr="00390151">
              <w:trPr>
                <w:trHeight w:val="633"/>
                <w:tblCellSpacing w:w="0" w:type="dxa"/>
              </w:trPr>
              <w:tc>
                <w:tcPr>
                  <w:tcW w:w="276" w:type="dxa"/>
                  <w:tcBorders>
                    <w:top w:val="outset" w:sz="6" w:space="0" w:color="auto"/>
                    <w:left w:val="outset" w:sz="6" w:space="0" w:color="auto"/>
                    <w:right w:val="outset" w:sz="6" w:space="0" w:color="auto"/>
                  </w:tcBorders>
                </w:tcPr>
                <w:p w14:paraId="13722F9B" w14:textId="77777777" w:rsidR="00B36E02" w:rsidRPr="00D55A31" w:rsidRDefault="00B36E02" w:rsidP="00B36E02">
                  <w:pPr>
                    <w:rPr>
                      <w:rFonts w:eastAsiaTheme="majorEastAsia"/>
                    </w:rPr>
                  </w:pPr>
                </w:p>
              </w:tc>
              <w:tc>
                <w:tcPr>
                  <w:tcW w:w="3402" w:type="dxa"/>
                  <w:tcBorders>
                    <w:top w:val="outset" w:sz="6" w:space="0" w:color="auto"/>
                    <w:left w:val="outset" w:sz="6" w:space="0" w:color="auto"/>
                    <w:right w:val="outset" w:sz="6" w:space="0" w:color="auto"/>
                  </w:tcBorders>
                </w:tcPr>
                <w:p w14:paraId="1E98F792" w14:textId="77777777" w:rsidR="00B36E02" w:rsidRPr="00D55A31" w:rsidRDefault="00B36E02" w:rsidP="00B36E02">
                  <w:pPr>
                    <w:rPr>
                      <w:rFonts w:eastAsiaTheme="majorEastAsia"/>
                    </w:rPr>
                  </w:pPr>
                  <w:r w:rsidRPr="00D55A31">
                    <w:rPr>
                      <w:rFonts w:eastAsiaTheme="majorEastAsia"/>
                    </w:rPr>
                    <w:t>het bedrag dat dit bestuursorgaan aan rechten zou heffen als het voor de activiteit waarvoor instemming wordt verzocht zelf bevoegd gezag zou zijn.</w:t>
                  </w:r>
                </w:p>
              </w:tc>
              <w:tc>
                <w:tcPr>
                  <w:tcW w:w="425" w:type="dxa"/>
                  <w:tcBorders>
                    <w:top w:val="outset" w:sz="6" w:space="0" w:color="auto"/>
                    <w:left w:val="outset" w:sz="6" w:space="0" w:color="auto"/>
                    <w:right w:val="outset" w:sz="6" w:space="0" w:color="auto"/>
                  </w:tcBorders>
                  <w:vAlign w:val="bottom"/>
                </w:tcPr>
                <w:p w14:paraId="6D5E6099" w14:textId="77777777" w:rsidR="00B36E02" w:rsidRPr="00D55A31" w:rsidRDefault="00B36E02" w:rsidP="00B36E02">
                  <w:pPr>
                    <w:rPr>
                      <w:rFonts w:eastAsiaTheme="majorEastAsia"/>
                    </w:rPr>
                  </w:pPr>
                </w:p>
              </w:tc>
            </w:tr>
            <w:tr w:rsidR="00B36E02" w:rsidRPr="00D55A31" w14:paraId="717A7905" w14:textId="77777777" w:rsidTr="003901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73C7BEBC" w14:textId="77777777" w:rsidR="00B36E02" w:rsidRPr="00D55A31" w:rsidRDefault="00B36E02" w:rsidP="00B36E02">
                  <w:pPr>
                    <w:rPr>
                      <w:rFonts w:eastAsiaTheme="majorEastAsia"/>
                    </w:rPr>
                  </w:pPr>
                  <w:r>
                    <w:rPr>
                      <w:rFonts w:eastAsiaTheme="majorEastAsia"/>
                    </w:rPr>
                    <w:t>2.</w:t>
                  </w:r>
                </w:p>
              </w:tc>
              <w:tc>
                <w:tcPr>
                  <w:tcW w:w="3402" w:type="dxa"/>
                  <w:tcBorders>
                    <w:top w:val="outset" w:sz="6" w:space="0" w:color="auto"/>
                    <w:left w:val="outset" w:sz="6" w:space="0" w:color="auto"/>
                    <w:bottom w:val="outset" w:sz="6" w:space="0" w:color="auto"/>
                    <w:right w:val="outset" w:sz="6" w:space="0" w:color="auto"/>
                  </w:tcBorders>
                  <w:vAlign w:val="center"/>
                </w:tcPr>
                <w:p w14:paraId="50ED1726" w14:textId="0281B1E0" w:rsidR="00B36E02" w:rsidRPr="004F1FD5" w:rsidRDefault="00B36E02" w:rsidP="00B36E02">
                  <w:pPr>
                    <w:rPr>
                      <w:rFonts w:eastAsiaTheme="majorEastAsia"/>
                    </w:rPr>
                  </w:pPr>
                  <w:bookmarkStart w:id="11" w:name="_Hlk147757038"/>
                  <w:r w:rsidRPr="00E108BB">
                    <w:rPr>
                      <w:rFonts w:eastAsiaTheme="majorEastAsia"/>
                    </w:rPr>
                    <w:t xml:space="preserve">Het bedrag bedoeld in het eerste lid </w:t>
                  </w:r>
                  <w:r>
                    <w:rPr>
                      <w:rFonts w:eastAsiaTheme="majorEastAsia"/>
                    </w:rPr>
                    <w:t>w</w:t>
                  </w:r>
                  <w:r w:rsidRPr="004F1FD5">
                    <w:rPr>
                      <w:rFonts w:eastAsiaTheme="majorEastAsia"/>
                    </w:rPr>
                    <w:t xml:space="preserve">ordt voorafgaand aan het in behandeling nemen van de aanvraag aan de aanvrager meegedeeld. </w:t>
                  </w:r>
                  <w:bookmarkEnd w:id="11"/>
                  <w:r w:rsidRPr="004F1FD5">
                    <w:rPr>
                      <w:rFonts w:eastAsiaTheme="majorEastAsia"/>
                    </w:rPr>
                    <w:t>De aanvraag wordt dan in behandeling genomen op de vijfde werkdag na de dag waarop het verschuldigde bedrag aan de aanvrager ter kennis is gebracht, tenzij de aanvraag voor deze vijfde werkdag schriftelijk is ingetrokken.</w:t>
                  </w:r>
                </w:p>
              </w:tc>
              <w:tc>
                <w:tcPr>
                  <w:tcW w:w="425" w:type="dxa"/>
                  <w:tcBorders>
                    <w:top w:val="outset" w:sz="6" w:space="0" w:color="auto"/>
                    <w:left w:val="outset" w:sz="6" w:space="0" w:color="auto"/>
                    <w:bottom w:val="outset" w:sz="6" w:space="0" w:color="auto"/>
                    <w:right w:val="outset" w:sz="6" w:space="0" w:color="auto"/>
                  </w:tcBorders>
                  <w:vAlign w:val="bottom"/>
                </w:tcPr>
                <w:p w14:paraId="329DF987" w14:textId="77777777" w:rsidR="00B36E02" w:rsidRPr="00D55A31" w:rsidRDefault="00B36E02" w:rsidP="00B36E02">
                  <w:pPr>
                    <w:rPr>
                      <w:rFonts w:eastAsiaTheme="majorEastAsia"/>
                    </w:rPr>
                  </w:pPr>
                  <w:r w:rsidRPr="00D55A31">
                    <w:rPr>
                      <w:rFonts w:eastAsiaTheme="majorEastAsia"/>
                    </w:rPr>
                    <w:t> </w:t>
                  </w:r>
                </w:p>
              </w:tc>
            </w:tr>
          </w:tbl>
          <w:p w14:paraId="5B588DF4" w14:textId="77777777" w:rsidR="007300E4" w:rsidRPr="0077152E" w:rsidRDefault="007300E4" w:rsidP="008F05E4">
            <w:pPr>
              <w:rPr>
                <w:rFonts w:cs="Arial"/>
              </w:rPr>
            </w:pPr>
          </w:p>
        </w:tc>
      </w:tr>
      <w:bookmarkEnd w:id="0"/>
      <w:bookmarkEnd w:id="1"/>
    </w:tbl>
    <w:p w14:paraId="51DEC361" w14:textId="36FBB998" w:rsidR="00D86603" w:rsidRDefault="00D86603" w:rsidP="008017CD">
      <w:pPr>
        <w:rPr>
          <w:rFonts w:cs="Arial"/>
        </w:rPr>
      </w:pPr>
    </w:p>
    <w:p w14:paraId="34CA2145" w14:textId="77777777" w:rsidR="006F7354" w:rsidRDefault="006F7354" w:rsidP="008017CD">
      <w:pPr>
        <w:rPr>
          <w:rFonts w:cs="Arial"/>
        </w:rPr>
      </w:pPr>
    </w:p>
    <w:p w14:paraId="3BBACA64" w14:textId="404337CA" w:rsidR="00AA7CFC" w:rsidRDefault="001571C3" w:rsidP="00241172">
      <w:pPr>
        <w:rPr>
          <w:rFonts w:cs="Arial"/>
        </w:rPr>
      </w:pPr>
      <w:r w:rsidRPr="00E07875">
        <w:rPr>
          <w:rFonts w:cs="Arial"/>
          <w:b/>
          <w:bCs/>
        </w:rPr>
        <w:t>Toelichting</w:t>
      </w:r>
    </w:p>
    <w:p w14:paraId="2E0C8321" w14:textId="77777777" w:rsidR="006F7354" w:rsidRDefault="006F7354" w:rsidP="00B36E02">
      <w:pPr>
        <w:rPr>
          <w:rFonts w:cs="Arial"/>
        </w:rPr>
      </w:pPr>
    </w:p>
    <w:p w14:paraId="68F43CFA" w14:textId="5A86C7CE" w:rsidR="00C3439A" w:rsidRPr="00C3439A" w:rsidRDefault="006F7354" w:rsidP="00B36E02">
      <w:pPr>
        <w:rPr>
          <w:rFonts w:cs="Arial"/>
        </w:rPr>
      </w:pPr>
      <w:r>
        <w:rPr>
          <w:rFonts w:cs="Arial"/>
        </w:rPr>
        <w:t>Dit besluit corrigeert onjuiste verwijzingen in</w:t>
      </w:r>
      <w:r w:rsidR="00B36E02">
        <w:rPr>
          <w:rFonts w:cs="Arial"/>
        </w:rPr>
        <w:t xml:space="preserve"> artikel 10</w:t>
      </w:r>
      <w:r>
        <w:rPr>
          <w:rFonts w:cs="Arial"/>
        </w:rPr>
        <w:t xml:space="preserve"> [</w:t>
      </w:r>
      <w:r w:rsidRPr="006F7354">
        <w:rPr>
          <w:rFonts w:cs="Arial"/>
          <w:i/>
          <w:iCs/>
        </w:rPr>
        <w:t>eerste lid</w:t>
      </w:r>
      <w:r>
        <w:rPr>
          <w:rFonts w:cs="Arial"/>
        </w:rPr>
        <w:t xml:space="preserve">], </w:t>
      </w:r>
      <w:r w:rsidR="00507A0C">
        <w:rPr>
          <w:rFonts w:cs="Arial"/>
        </w:rPr>
        <w:t xml:space="preserve">onderdeel b, </w:t>
      </w:r>
      <w:r>
        <w:rPr>
          <w:rFonts w:cs="Arial"/>
        </w:rPr>
        <w:t>onder 3, 4 en 5,</w:t>
      </w:r>
      <w:r w:rsidR="00B36E02">
        <w:rPr>
          <w:rFonts w:cs="Arial"/>
        </w:rPr>
        <w:t xml:space="preserve"> van de verordening en artikel 2.51</w:t>
      </w:r>
      <w:r>
        <w:rPr>
          <w:rFonts w:cs="Arial"/>
        </w:rPr>
        <w:t>, tweede lid,</w:t>
      </w:r>
      <w:r w:rsidR="00B36E02">
        <w:rPr>
          <w:rFonts w:cs="Arial"/>
        </w:rPr>
        <w:t xml:space="preserve"> van de tarieventabel. </w:t>
      </w:r>
      <w:r>
        <w:rPr>
          <w:rFonts w:cs="Arial"/>
        </w:rPr>
        <w:t>De wijzigingen zijn van zuiver redactionele aard.</w:t>
      </w:r>
      <w:r w:rsidR="006260E8">
        <w:rPr>
          <w:rFonts w:cs="Arial"/>
        </w:rPr>
        <w:t xml:space="preserve"> Op grond van artikel 10 van de </w:t>
      </w:r>
      <w:r w:rsidR="00526221">
        <w:rPr>
          <w:rFonts w:cs="Arial"/>
        </w:rPr>
        <w:t>leges</w:t>
      </w:r>
      <w:r w:rsidR="006260E8">
        <w:rPr>
          <w:rFonts w:cs="Arial"/>
        </w:rPr>
        <w:t>verordening is het college bevoegd deze wijzigingen vast te stellen.</w:t>
      </w:r>
    </w:p>
    <w:p w14:paraId="73551844" w14:textId="77777777" w:rsidR="00C3439A" w:rsidRPr="00C3439A" w:rsidRDefault="00C3439A" w:rsidP="00241172">
      <w:pPr>
        <w:rPr>
          <w:rFonts w:cs="Arial"/>
        </w:rPr>
      </w:pPr>
    </w:p>
    <w:sectPr w:rsidR="00C3439A" w:rsidRPr="00C3439A" w:rsidSect="00590D35">
      <w:headerReference w:type="default" r:id="rId12"/>
      <w:footerReference w:type="default" r:id="rId13"/>
      <w:headerReference w:type="first" r:id="rId14"/>
      <w:footerReference w:type="first" r:id="rId15"/>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86FD" w14:textId="77777777" w:rsidR="00783225" w:rsidRDefault="00783225">
      <w:r>
        <w:separator/>
      </w:r>
    </w:p>
  </w:endnote>
  <w:endnote w:type="continuationSeparator" w:id="0">
    <w:p w14:paraId="162C337E" w14:textId="77777777" w:rsidR="00783225" w:rsidRDefault="0078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1792" w14:textId="77777777" w:rsidR="00624A76" w:rsidRPr="00607447" w:rsidRDefault="00624A76"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04D599CE" wp14:editId="117A26A4">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3B654" w14:textId="77777777" w:rsidR="00624A76" w:rsidRPr="0014684E" w:rsidRDefault="00624A76" w:rsidP="0014684E">
                          <w:pPr>
                            <w:jc w:val="right"/>
                          </w:pPr>
                          <w:r>
                            <w:fldChar w:fldCharType="begin"/>
                          </w:r>
                          <w:r>
                            <w:instrText xml:space="preserve"> PAGE \# "0" \* MERGEFORMAT </w:instrText>
                          </w:r>
                          <w:r>
                            <w:fldChar w:fldCharType="separate"/>
                          </w:r>
                          <w:r>
                            <w:rPr>
                              <w:noProof/>
                            </w:rPr>
                            <w:t>2</w:t>
                          </w:r>
                          <w:r>
                            <w:fldChar w:fldCharType="end"/>
                          </w:r>
                          <w:r w:rsidRPr="000742B5">
                            <w:t>/</w:t>
                          </w:r>
                          <w:r>
                            <w:fldChar w:fldCharType="begin"/>
                          </w:r>
                          <w:r>
                            <w:instrText xml:space="preserve"> NUMPAGES \# "0" \* MERGEFORMAT</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D599CE"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" o:allowincell="f" o:allowoverlap="f" stroked="f">
              <v:textbox inset="0,0,0,0">
                <w:txbxContent>
                  <w:p w14:paraId="77D3B654" w14:textId="77777777" w:rsidR="00624A76" w:rsidRPr="0014684E" w:rsidRDefault="00624A76" w:rsidP="0014684E">
                    <w:pPr>
                      <w:jc w:val="right"/>
                    </w:pPr>
                    <w:r>
                      <w:fldChar w:fldCharType="begin"/>
                    </w:r>
                    <w:r>
                      <w:instrText xml:space="preserve"> PAGE \# "0" \* MERGEFORMAT </w:instrText>
                    </w:r>
                    <w:r>
                      <w:fldChar w:fldCharType="separate"/>
                    </w:r>
                    <w:r>
                      <w:rPr>
                        <w:noProof/>
                      </w:rPr>
                      <w:t>2</w:t>
                    </w:r>
                    <w:r>
                      <w:fldChar w:fldCharType="end"/>
                    </w:r>
                    <w:r w:rsidRPr="000742B5">
                      <w:t>/</w:t>
                    </w:r>
                    <w:r>
                      <w:fldChar w:fldCharType="begin"/>
                    </w:r>
                    <w:r>
                      <w:instrText xml:space="preserve"> NUMPAGES \# "0" \* MERGEFORMAT</w:instrText>
                    </w:r>
                    <w:r>
                      <w:fldChar w:fldCharType="separate"/>
                    </w:r>
                    <w:r>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16291AE7" wp14:editId="41F9C1AC">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06613" w14:textId="77777777" w:rsidR="00624A76" w:rsidRPr="00901A4F" w:rsidRDefault="00624A76"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91AE7"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o:allowoverlap="f" stroked="f">
              <v:textbox inset="0,0,0,0">
                <w:txbxContent>
                  <w:p w14:paraId="69C06613" w14:textId="77777777" w:rsidR="00624A76" w:rsidRPr="00901A4F" w:rsidRDefault="00624A76"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7925" w14:textId="77777777" w:rsidR="00624A76" w:rsidRPr="004776AB" w:rsidRDefault="00624A76"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3D18BFE9" wp14:editId="79871DAA">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Pr>
        <w:rFonts w:eastAsia="Arial"/>
        <w:b/>
        <w:noProof/>
        <w:sz w:val="16"/>
      </w:rPr>
      <mc:AlternateContent>
        <mc:Choice Requires="wps">
          <w:drawing>
            <wp:anchor distT="0" distB="0" distL="114300" distR="114300" simplePos="0" relativeHeight="251666432" behindDoc="0" locked="0" layoutInCell="1" allowOverlap="1" wp14:anchorId="4F8A02A9" wp14:editId="7C94E9A1">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57EDA" w14:textId="77777777" w:rsidR="00624A76" w:rsidRPr="00901A4F" w:rsidRDefault="00624A76"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A02A9"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stroked="f">
              <v:textbox inset="0,0,0,0">
                <w:txbxContent>
                  <w:p w14:paraId="75757EDA" w14:textId="77777777" w:rsidR="00624A76" w:rsidRPr="00901A4F" w:rsidRDefault="00624A76"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2358" w14:textId="77777777" w:rsidR="00783225" w:rsidRDefault="00783225">
      <w:r>
        <w:separator/>
      </w:r>
    </w:p>
  </w:footnote>
  <w:footnote w:type="continuationSeparator" w:id="0">
    <w:p w14:paraId="0874DE52" w14:textId="77777777" w:rsidR="00783225" w:rsidRDefault="00783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B62B" w14:textId="77777777" w:rsidR="00624A76" w:rsidRDefault="00624A7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50CE" w14:textId="77777777" w:rsidR="00624A76" w:rsidRDefault="00624A76" w:rsidP="00590D35">
    <w:pPr>
      <w:spacing w:after="1560"/>
    </w:pPr>
    <w:r w:rsidRPr="002E3B9D">
      <w:rPr>
        <w:noProof/>
      </w:rPr>
      <w:drawing>
        <wp:anchor distT="0" distB="0" distL="114300" distR="114300" simplePos="0" relativeHeight="251672575" behindDoc="1" locked="0" layoutInCell="0" allowOverlap="1" wp14:anchorId="2587AE57" wp14:editId="613804B0">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7C6"/>
    <w:multiLevelType w:val="hybridMultilevel"/>
    <w:tmpl w:val="EB408E0E"/>
    <w:styleLink w:val="VNGGenummerdekoppen2tm61"/>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2" w15:restartNumberingAfterBreak="0">
    <w:nsid w:val="0CB6594C"/>
    <w:multiLevelType w:val="hybridMultilevel"/>
    <w:tmpl w:val="3CE2FA7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99D4F02"/>
    <w:multiLevelType w:val="hybridMultilevel"/>
    <w:tmpl w:val="0D4095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B17808"/>
    <w:multiLevelType w:val="multilevel"/>
    <w:tmpl w:val="921CE4C8"/>
    <w:styleLink w:val="Stijl11"/>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5" w15:restartNumberingAfterBreak="0">
    <w:nsid w:val="25252C37"/>
    <w:multiLevelType w:val="hybridMultilevel"/>
    <w:tmpl w:val="51BAE2A0"/>
    <w:lvl w:ilvl="0" w:tplc="6A722A0C">
      <w:start w:val="1"/>
      <w:numFmt w:val="bullet"/>
      <w:lvlText w:val="-"/>
      <w:lvlJc w:val="left"/>
      <w:pPr>
        <w:ind w:left="360" w:hanging="360"/>
      </w:pPr>
      <w:rPr>
        <w:rFonts w:ascii="Arial" w:eastAsiaTheme="maj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7" w15:restartNumberingAfterBreak="0">
    <w:nsid w:val="360F0B39"/>
    <w:multiLevelType w:val="hybridMultilevel"/>
    <w:tmpl w:val="8E18C4A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08D1FC4"/>
    <w:multiLevelType w:val="multilevel"/>
    <w:tmpl w:val="5E64B392"/>
    <w:styleLink w:val="VNGGenummerdelij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9F6F20"/>
    <w:multiLevelType w:val="multilevel"/>
    <w:tmpl w:val="FC6077A8"/>
    <w:styleLink w:val="VNGOngenummerdelij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1" w15:restartNumberingAfterBreak="0">
    <w:nsid w:val="56152F78"/>
    <w:multiLevelType w:val="hybridMultilevel"/>
    <w:tmpl w:val="84AC39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5FA7F12"/>
    <w:multiLevelType w:val="hybridMultilevel"/>
    <w:tmpl w:val="C0784A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05205959">
    <w:abstractNumId w:val="0"/>
  </w:num>
  <w:num w:numId="2" w16cid:durableId="137960638">
    <w:abstractNumId w:val="8"/>
  </w:num>
  <w:num w:numId="3" w16cid:durableId="108791123">
    <w:abstractNumId w:val="9"/>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4" w16cid:durableId="107429444">
    <w:abstractNumId w:val="6"/>
  </w:num>
  <w:num w:numId="5" w16cid:durableId="1736706656">
    <w:abstractNumId w:val="10"/>
  </w:num>
  <w:num w:numId="6" w16cid:durableId="1704163860">
    <w:abstractNumId w:val="4"/>
  </w:num>
  <w:num w:numId="7" w16cid:durableId="1083063452">
    <w:abstractNumId w:val="1"/>
  </w:num>
  <w:num w:numId="8" w16cid:durableId="277302113">
    <w:abstractNumId w:val="3"/>
  </w:num>
  <w:num w:numId="9" w16cid:durableId="1149252966">
    <w:abstractNumId w:val="12"/>
  </w:num>
  <w:num w:numId="10" w16cid:durableId="1129738765">
    <w:abstractNumId w:val="2"/>
  </w:num>
  <w:num w:numId="11" w16cid:durableId="1926766506">
    <w:abstractNumId w:val="5"/>
  </w:num>
  <w:num w:numId="12" w16cid:durableId="423111051">
    <w:abstractNumId w:val="9"/>
  </w:num>
  <w:num w:numId="13" w16cid:durableId="756485885">
    <w:abstractNumId w:val="7"/>
  </w:num>
  <w:num w:numId="14" w16cid:durableId="3604979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CD"/>
    <w:rsid w:val="00002C6D"/>
    <w:rsid w:val="00012AFA"/>
    <w:rsid w:val="00017C57"/>
    <w:rsid w:val="00020B64"/>
    <w:rsid w:val="000417A1"/>
    <w:rsid w:val="000418E5"/>
    <w:rsid w:val="00042049"/>
    <w:rsid w:val="000506F8"/>
    <w:rsid w:val="00050743"/>
    <w:rsid w:val="00055A4B"/>
    <w:rsid w:val="00070796"/>
    <w:rsid w:val="00071277"/>
    <w:rsid w:val="000742B5"/>
    <w:rsid w:val="0007765A"/>
    <w:rsid w:val="00084CB9"/>
    <w:rsid w:val="00090204"/>
    <w:rsid w:val="000962BB"/>
    <w:rsid w:val="000A666C"/>
    <w:rsid w:val="000A6C47"/>
    <w:rsid w:val="000B61B9"/>
    <w:rsid w:val="000B72A1"/>
    <w:rsid w:val="000B7EAB"/>
    <w:rsid w:val="000C1735"/>
    <w:rsid w:val="000C4290"/>
    <w:rsid w:val="000C512C"/>
    <w:rsid w:val="000D03A5"/>
    <w:rsid w:val="000D226C"/>
    <w:rsid w:val="000D4574"/>
    <w:rsid w:val="000E1FC6"/>
    <w:rsid w:val="000F33B3"/>
    <w:rsid w:val="00100CBD"/>
    <w:rsid w:val="00100D7A"/>
    <w:rsid w:val="00111E05"/>
    <w:rsid w:val="00115283"/>
    <w:rsid w:val="001210B4"/>
    <w:rsid w:val="00124EA9"/>
    <w:rsid w:val="00125358"/>
    <w:rsid w:val="001410A5"/>
    <w:rsid w:val="00143A9C"/>
    <w:rsid w:val="0014684E"/>
    <w:rsid w:val="00146B36"/>
    <w:rsid w:val="001571C3"/>
    <w:rsid w:val="00165095"/>
    <w:rsid w:val="00172C76"/>
    <w:rsid w:val="00177046"/>
    <w:rsid w:val="00185A52"/>
    <w:rsid w:val="001870B3"/>
    <w:rsid w:val="001870F4"/>
    <w:rsid w:val="001923EC"/>
    <w:rsid w:val="001A0E16"/>
    <w:rsid w:val="001A439E"/>
    <w:rsid w:val="001A4C18"/>
    <w:rsid w:val="001A63A1"/>
    <w:rsid w:val="001B1512"/>
    <w:rsid w:val="001C3F17"/>
    <w:rsid w:val="001C50FC"/>
    <w:rsid w:val="001D49B8"/>
    <w:rsid w:val="001E1229"/>
    <w:rsid w:val="001E30DD"/>
    <w:rsid w:val="001E3ADB"/>
    <w:rsid w:val="001E6084"/>
    <w:rsid w:val="001F3BFB"/>
    <w:rsid w:val="00201EAF"/>
    <w:rsid w:val="0020379C"/>
    <w:rsid w:val="00203C3D"/>
    <w:rsid w:val="00204B4B"/>
    <w:rsid w:val="0021160C"/>
    <w:rsid w:val="00214ABB"/>
    <w:rsid w:val="00216D16"/>
    <w:rsid w:val="00217622"/>
    <w:rsid w:val="00217C55"/>
    <w:rsid w:val="002201A8"/>
    <w:rsid w:val="00230046"/>
    <w:rsid w:val="0023513C"/>
    <w:rsid w:val="00237D84"/>
    <w:rsid w:val="0024071A"/>
    <w:rsid w:val="00240BBA"/>
    <w:rsid w:val="00241172"/>
    <w:rsid w:val="002430BF"/>
    <w:rsid w:val="00253EA6"/>
    <w:rsid w:val="00256AE9"/>
    <w:rsid w:val="002604D3"/>
    <w:rsid w:val="002626E0"/>
    <w:rsid w:val="0026720D"/>
    <w:rsid w:val="00267B36"/>
    <w:rsid w:val="00274A16"/>
    <w:rsid w:val="00277010"/>
    <w:rsid w:val="00284002"/>
    <w:rsid w:val="002A6CA8"/>
    <w:rsid w:val="002C36B2"/>
    <w:rsid w:val="002C62F2"/>
    <w:rsid w:val="002D04C0"/>
    <w:rsid w:val="002D44E6"/>
    <w:rsid w:val="002E3B9D"/>
    <w:rsid w:val="002E4754"/>
    <w:rsid w:val="002E63C0"/>
    <w:rsid w:val="002F31FE"/>
    <w:rsid w:val="002F37AB"/>
    <w:rsid w:val="002F705E"/>
    <w:rsid w:val="0030741E"/>
    <w:rsid w:val="00326196"/>
    <w:rsid w:val="00326248"/>
    <w:rsid w:val="00336067"/>
    <w:rsid w:val="00341C4D"/>
    <w:rsid w:val="00344F71"/>
    <w:rsid w:val="00356060"/>
    <w:rsid w:val="003620C7"/>
    <w:rsid w:val="0036240A"/>
    <w:rsid w:val="0036405A"/>
    <w:rsid w:val="00365A80"/>
    <w:rsid w:val="00371FF3"/>
    <w:rsid w:val="00372677"/>
    <w:rsid w:val="00373EAD"/>
    <w:rsid w:val="0037427A"/>
    <w:rsid w:val="00375472"/>
    <w:rsid w:val="003761B3"/>
    <w:rsid w:val="0037648C"/>
    <w:rsid w:val="003848FB"/>
    <w:rsid w:val="003A13EA"/>
    <w:rsid w:val="003A161E"/>
    <w:rsid w:val="003A1D15"/>
    <w:rsid w:val="003B01B9"/>
    <w:rsid w:val="003B0D11"/>
    <w:rsid w:val="003B197A"/>
    <w:rsid w:val="003B298D"/>
    <w:rsid w:val="003C14B7"/>
    <w:rsid w:val="003C69C0"/>
    <w:rsid w:val="003D0BAE"/>
    <w:rsid w:val="003E1E96"/>
    <w:rsid w:val="003E2C31"/>
    <w:rsid w:val="003E483E"/>
    <w:rsid w:val="003F0134"/>
    <w:rsid w:val="003F2F2F"/>
    <w:rsid w:val="003F3BB9"/>
    <w:rsid w:val="003F6353"/>
    <w:rsid w:val="003F6C28"/>
    <w:rsid w:val="00400CFC"/>
    <w:rsid w:val="004202DC"/>
    <w:rsid w:val="00433ED1"/>
    <w:rsid w:val="004408E4"/>
    <w:rsid w:val="004414AB"/>
    <w:rsid w:val="0044309E"/>
    <w:rsid w:val="00455A4B"/>
    <w:rsid w:val="004614A0"/>
    <w:rsid w:val="00466BDA"/>
    <w:rsid w:val="00467BCF"/>
    <w:rsid w:val="004776AB"/>
    <w:rsid w:val="0048375D"/>
    <w:rsid w:val="00486ED2"/>
    <w:rsid w:val="00487CF3"/>
    <w:rsid w:val="00495B36"/>
    <w:rsid w:val="00497ABB"/>
    <w:rsid w:val="004A18A2"/>
    <w:rsid w:val="004A23EA"/>
    <w:rsid w:val="004A544C"/>
    <w:rsid w:val="004C36DA"/>
    <w:rsid w:val="004C5C32"/>
    <w:rsid w:val="004C7DC3"/>
    <w:rsid w:val="004D0BB2"/>
    <w:rsid w:val="004D1698"/>
    <w:rsid w:val="004D4D2F"/>
    <w:rsid w:val="004D7CC9"/>
    <w:rsid w:val="004F0649"/>
    <w:rsid w:val="004F0C98"/>
    <w:rsid w:val="004F38DF"/>
    <w:rsid w:val="00507A0C"/>
    <w:rsid w:val="0052111F"/>
    <w:rsid w:val="00526221"/>
    <w:rsid w:val="005403F7"/>
    <w:rsid w:val="00544722"/>
    <w:rsid w:val="005501D5"/>
    <w:rsid w:val="00551149"/>
    <w:rsid w:val="005565F0"/>
    <w:rsid w:val="005670A1"/>
    <w:rsid w:val="00567ED4"/>
    <w:rsid w:val="00573D63"/>
    <w:rsid w:val="00583601"/>
    <w:rsid w:val="00590D35"/>
    <w:rsid w:val="0059421E"/>
    <w:rsid w:val="005A1F0C"/>
    <w:rsid w:val="005A5B07"/>
    <w:rsid w:val="005A5E34"/>
    <w:rsid w:val="005B0DDE"/>
    <w:rsid w:val="005B2D93"/>
    <w:rsid w:val="005B2F3D"/>
    <w:rsid w:val="005B4AB2"/>
    <w:rsid w:val="005B575D"/>
    <w:rsid w:val="005C16B5"/>
    <w:rsid w:val="005C252A"/>
    <w:rsid w:val="005C2A6E"/>
    <w:rsid w:val="005D6CEC"/>
    <w:rsid w:val="005D701C"/>
    <w:rsid w:val="005F3676"/>
    <w:rsid w:val="00605775"/>
    <w:rsid w:val="00607447"/>
    <w:rsid w:val="00607FEA"/>
    <w:rsid w:val="006141A2"/>
    <w:rsid w:val="00615076"/>
    <w:rsid w:val="00617006"/>
    <w:rsid w:val="00624A76"/>
    <w:rsid w:val="00624E7D"/>
    <w:rsid w:val="006260E8"/>
    <w:rsid w:val="00630F1E"/>
    <w:rsid w:val="00635467"/>
    <w:rsid w:val="00635F37"/>
    <w:rsid w:val="006413D9"/>
    <w:rsid w:val="00654FEE"/>
    <w:rsid w:val="00656662"/>
    <w:rsid w:val="006569A6"/>
    <w:rsid w:val="00660585"/>
    <w:rsid w:val="00676433"/>
    <w:rsid w:val="0067784A"/>
    <w:rsid w:val="00684E69"/>
    <w:rsid w:val="00686433"/>
    <w:rsid w:val="00686F19"/>
    <w:rsid w:val="00692641"/>
    <w:rsid w:val="00696512"/>
    <w:rsid w:val="006A201C"/>
    <w:rsid w:val="006A568B"/>
    <w:rsid w:val="006B1AB8"/>
    <w:rsid w:val="006C1F71"/>
    <w:rsid w:val="006D3956"/>
    <w:rsid w:val="006D57EE"/>
    <w:rsid w:val="006E61D5"/>
    <w:rsid w:val="006F1995"/>
    <w:rsid w:val="006F322A"/>
    <w:rsid w:val="006F6495"/>
    <w:rsid w:val="006F7354"/>
    <w:rsid w:val="00700D0E"/>
    <w:rsid w:val="00711AFC"/>
    <w:rsid w:val="00712545"/>
    <w:rsid w:val="00715EA8"/>
    <w:rsid w:val="00723D53"/>
    <w:rsid w:val="007300E4"/>
    <w:rsid w:val="007306EF"/>
    <w:rsid w:val="00731BB3"/>
    <w:rsid w:val="007521B0"/>
    <w:rsid w:val="007539A5"/>
    <w:rsid w:val="00763982"/>
    <w:rsid w:val="00770F2B"/>
    <w:rsid w:val="0077152E"/>
    <w:rsid w:val="00772B63"/>
    <w:rsid w:val="00782E8B"/>
    <w:rsid w:val="00783225"/>
    <w:rsid w:val="00790B6A"/>
    <w:rsid w:val="00792683"/>
    <w:rsid w:val="007A01F4"/>
    <w:rsid w:val="007A6F75"/>
    <w:rsid w:val="007B0DFF"/>
    <w:rsid w:val="007B1C27"/>
    <w:rsid w:val="007B460C"/>
    <w:rsid w:val="007C1380"/>
    <w:rsid w:val="007C626D"/>
    <w:rsid w:val="007D6D1D"/>
    <w:rsid w:val="007D78B2"/>
    <w:rsid w:val="007E0158"/>
    <w:rsid w:val="007E5D23"/>
    <w:rsid w:val="007F1C81"/>
    <w:rsid w:val="007F1E61"/>
    <w:rsid w:val="008017CD"/>
    <w:rsid w:val="00805ABD"/>
    <w:rsid w:val="00814352"/>
    <w:rsid w:val="00815D83"/>
    <w:rsid w:val="00817A7C"/>
    <w:rsid w:val="008216CB"/>
    <w:rsid w:val="00824BE6"/>
    <w:rsid w:val="00827E6B"/>
    <w:rsid w:val="008329D6"/>
    <w:rsid w:val="00837A0C"/>
    <w:rsid w:val="00840509"/>
    <w:rsid w:val="00844DE0"/>
    <w:rsid w:val="00845A94"/>
    <w:rsid w:val="00850120"/>
    <w:rsid w:val="0085125D"/>
    <w:rsid w:val="008526B5"/>
    <w:rsid w:val="008541CC"/>
    <w:rsid w:val="0085520F"/>
    <w:rsid w:val="00857FCB"/>
    <w:rsid w:val="008666D6"/>
    <w:rsid w:val="00871AA0"/>
    <w:rsid w:val="00872931"/>
    <w:rsid w:val="00873741"/>
    <w:rsid w:val="00890DA6"/>
    <w:rsid w:val="00896E2F"/>
    <w:rsid w:val="008A4912"/>
    <w:rsid w:val="008B5BCD"/>
    <w:rsid w:val="008B5C37"/>
    <w:rsid w:val="008C0E36"/>
    <w:rsid w:val="008C1026"/>
    <w:rsid w:val="008C1EF9"/>
    <w:rsid w:val="008C1FE5"/>
    <w:rsid w:val="008C52EB"/>
    <w:rsid w:val="008C5CE3"/>
    <w:rsid w:val="008E56CB"/>
    <w:rsid w:val="008E6757"/>
    <w:rsid w:val="008F05C0"/>
    <w:rsid w:val="008F05E4"/>
    <w:rsid w:val="008F78A6"/>
    <w:rsid w:val="00901A4F"/>
    <w:rsid w:val="00901B2E"/>
    <w:rsid w:val="00912B99"/>
    <w:rsid w:val="00931275"/>
    <w:rsid w:val="009319F4"/>
    <w:rsid w:val="00936D40"/>
    <w:rsid w:val="00936F8B"/>
    <w:rsid w:val="00940043"/>
    <w:rsid w:val="009536B8"/>
    <w:rsid w:val="00960C5B"/>
    <w:rsid w:val="0096585C"/>
    <w:rsid w:val="00972DE6"/>
    <w:rsid w:val="009731BB"/>
    <w:rsid w:val="00977C07"/>
    <w:rsid w:val="00984FD7"/>
    <w:rsid w:val="00985BED"/>
    <w:rsid w:val="009925E2"/>
    <w:rsid w:val="009A1772"/>
    <w:rsid w:val="009A4BE1"/>
    <w:rsid w:val="009A664B"/>
    <w:rsid w:val="009A7030"/>
    <w:rsid w:val="009B1787"/>
    <w:rsid w:val="009B2AF4"/>
    <w:rsid w:val="009C00E0"/>
    <w:rsid w:val="009C1F7A"/>
    <w:rsid w:val="009C2C04"/>
    <w:rsid w:val="009C2E52"/>
    <w:rsid w:val="009D25B5"/>
    <w:rsid w:val="009F0A61"/>
    <w:rsid w:val="00A01B33"/>
    <w:rsid w:val="00A050B0"/>
    <w:rsid w:val="00A07FC5"/>
    <w:rsid w:val="00A11B66"/>
    <w:rsid w:val="00A15DB2"/>
    <w:rsid w:val="00A311AF"/>
    <w:rsid w:val="00A33847"/>
    <w:rsid w:val="00A3584D"/>
    <w:rsid w:val="00A50654"/>
    <w:rsid w:val="00A6248C"/>
    <w:rsid w:val="00A6608F"/>
    <w:rsid w:val="00A70928"/>
    <w:rsid w:val="00A72111"/>
    <w:rsid w:val="00A8107D"/>
    <w:rsid w:val="00A8532A"/>
    <w:rsid w:val="00A85DD7"/>
    <w:rsid w:val="00A91DA5"/>
    <w:rsid w:val="00A958BD"/>
    <w:rsid w:val="00AA7CFC"/>
    <w:rsid w:val="00AB1016"/>
    <w:rsid w:val="00AC0E57"/>
    <w:rsid w:val="00AC5050"/>
    <w:rsid w:val="00AC6737"/>
    <w:rsid w:val="00AE0781"/>
    <w:rsid w:val="00AE39C1"/>
    <w:rsid w:val="00AE6307"/>
    <w:rsid w:val="00AF4876"/>
    <w:rsid w:val="00B00B7C"/>
    <w:rsid w:val="00B21FAC"/>
    <w:rsid w:val="00B2486E"/>
    <w:rsid w:val="00B33172"/>
    <w:rsid w:val="00B36E02"/>
    <w:rsid w:val="00B37A68"/>
    <w:rsid w:val="00B41E19"/>
    <w:rsid w:val="00B43003"/>
    <w:rsid w:val="00B44FF5"/>
    <w:rsid w:val="00B465E3"/>
    <w:rsid w:val="00B576CA"/>
    <w:rsid w:val="00B57740"/>
    <w:rsid w:val="00B823B1"/>
    <w:rsid w:val="00B85260"/>
    <w:rsid w:val="00B90E6A"/>
    <w:rsid w:val="00B93830"/>
    <w:rsid w:val="00B94EDA"/>
    <w:rsid w:val="00B95931"/>
    <w:rsid w:val="00BA67D3"/>
    <w:rsid w:val="00BB20FF"/>
    <w:rsid w:val="00BC1CB7"/>
    <w:rsid w:val="00BE2D57"/>
    <w:rsid w:val="00BE4649"/>
    <w:rsid w:val="00BE4715"/>
    <w:rsid w:val="00BE4DE6"/>
    <w:rsid w:val="00BF631D"/>
    <w:rsid w:val="00BF6876"/>
    <w:rsid w:val="00C110AE"/>
    <w:rsid w:val="00C12654"/>
    <w:rsid w:val="00C151E0"/>
    <w:rsid w:val="00C22599"/>
    <w:rsid w:val="00C30BD2"/>
    <w:rsid w:val="00C3439A"/>
    <w:rsid w:val="00C36671"/>
    <w:rsid w:val="00C37851"/>
    <w:rsid w:val="00C37F69"/>
    <w:rsid w:val="00C40464"/>
    <w:rsid w:val="00C45E4B"/>
    <w:rsid w:val="00C518B0"/>
    <w:rsid w:val="00C52713"/>
    <w:rsid w:val="00C57444"/>
    <w:rsid w:val="00C6694F"/>
    <w:rsid w:val="00C77C57"/>
    <w:rsid w:val="00C85A27"/>
    <w:rsid w:val="00C92B60"/>
    <w:rsid w:val="00CA1B56"/>
    <w:rsid w:val="00CA56D4"/>
    <w:rsid w:val="00CA7662"/>
    <w:rsid w:val="00CB0148"/>
    <w:rsid w:val="00CB6E70"/>
    <w:rsid w:val="00CC101E"/>
    <w:rsid w:val="00CD1354"/>
    <w:rsid w:val="00CE1EE7"/>
    <w:rsid w:val="00CE46AF"/>
    <w:rsid w:val="00CF1C4F"/>
    <w:rsid w:val="00CF5113"/>
    <w:rsid w:val="00D01C2E"/>
    <w:rsid w:val="00D05052"/>
    <w:rsid w:val="00D06B6E"/>
    <w:rsid w:val="00D11880"/>
    <w:rsid w:val="00D209FF"/>
    <w:rsid w:val="00D3317B"/>
    <w:rsid w:val="00D33AD8"/>
    <w:rsid w:val="00D364BD"/>
    <w:rsid w:val="00D4113B"/>
    <w:rsid w:val="00D45398"/>
    <w:rsid w:val="00D51B41"/>
    <w:rsid w:val="00D66E71"/>
    <w:rsid w:val="00D85FC5"/>
    <w:rsid w:val="00D86603"/>
    <w:rsid w:val="00D87DAC"/>
    <w:rsid w:val="00D9235B"/>
    <w:rsid w:val="00DA3B54"/>
    <w:rsid w:val="00DA6F0C"/>
    <w:rsid w:val="00DB2BE7"/>
    <w:rsid w:val="00DB6A81"/>
    <w:rsid w:val="00DC07B1"/>
    <w:rsid w:val="00DC0998"/>
    <w:rsid w:val="00DE0766"/>
    <w:rsid w:val="00DF08F9"/>
    <w:rsid w:val="00DF6BCF"/>
    <w:rsid w:val="00E07875"/>
    <w:rsid w:val="00E07BB4"/>
    <w:rsid w:val="00E12AF3"/>
    <w:rsid w:val="00E13E67"/>
    <w:rsid w:val="00E238E8"/>
    <w:rsid w:val="00E24E69"/>
    <w:rsid w:val="00E412E4"/>
    <w:rsid w:val="00E56A12"/>
    <w:rsid w:val="00E57FE9"/>
    <w:rsid w:val="00E70940"/>
    <w:rsid w:val="00E7329A"/>
    <w:rsid w:val="00E87A6D"/>
    <w:rsid w:val="00EA6CF4"/>
    <w:rsid w:val="00EB0D74"/>
    <w:rsid w:val="00EB1243"/>
    <w:rsid w:val="00EB40BA"/>
    <w:rsid w:val="00EC5CDB"/>
    <w:rsid w:val="00ED20D6"/>
    <w:rsid w:val="00ED57C7"/>
    <w:rsid w:val="00ED6BD8"/>
    <w:rsid w:val="00ED77A3"/>
    <w:rsid w:val="00EE08B2"/>
    <w:rsid w:val="00EE51ED"/>
    <w:rsid w:val="00EE56C5"/>
    <w:rsid w:val="00EE6875"/>
    <w:rsid w:val="00EE7AD9"/>
    <w:rsid w:val="00F07ACE"/>
    <w:rsid w:val="00F20E52"/>
    <w:rsid w:val="00F2461E"/>
    <w:rsid w:val="00F33390"/>
    <w:rsid w:val="00F41A21"/>
    <w:rsid w:val="00F42D22"/>
    <w:rsid w:val="00F431A3"/>
    <w:rsid w:val="00F46133"/>
    <w:rsid w:val="00F554BE"/>
    <w:rsid w:val="00F62A08"/>
    <w:rsid w:val="00F633D6"/>
    <w:rsid w:val="00F7114C"/>
    <w:rsid w:val="00F71926"/>
    <w:rsid w:val="00F71B14"/>
    <w:rsid w:val="00F8316A"/>
    <w:rsid w:val="00F9512E"/>
    <w:rsid w:val="00FA2053"/>
    <w:rsid w:val="00FA2DA8"/>
    <w:rsid w:val="00FA3B97"/>
    <w:rsid w:val="00FB0CB0"/>
    <w:rsid w:val="00FB64F7"/>
    <w:rsid w:val="00FC63F0"/>
    <w:rsid w:val="00FD2DAF"/>
    <w:rsid w:val="00FD7A82"/>
    <w:rsid w:val="00FE5F4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608630"/>
  <w15:docId w15:val="{4B9629D9-89E5-44BD-B7BE-5EF400CB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31BB3"/>
    <w:pPr>
      <w:spacing w:line="280" w:lineRule="atLeast"/>
    </w:pPr>
    <w:rPr>
      <w:rFonts w:ascii="Arial" w:hAnsi="Arial"/>
    </w:rPr>
  </w:style>
  <w:style w:type="paragraph" w:styleId="Kop1">
    <w:name w:val="heading 1"/>
    <w:aliases w:val="Webversie, titel document,Webversie;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850120"/>
    <w:pPr>
      <w:keepNext/>
      <w:spacing w:before="300" w:after="240" w:line="330" w:lineRule="atLeast"/>
      <w:outlineLvl w:val="2"/>
    </w:pPr>
    <w:rPr>
      <w:b/>
      <w:bCs/>
      <w:sz w:val="24"/>
      <w:szCs w:val="26"/>
    </w:rPr>
  </w:style>
  <w:style w:type="paragraph" w:styleId="Kop4">
    <w:name w:val="heading 4"/>
    <w:basedOn w:val="Standaard"/>
    <w:next w:val="Standaard"/>
    <w:link w:val="Kop4Char"/>
    <w:uiPriority w:val="1"/>
    <w:qFormat/>
    <w:rsid w:val="008017CD"/>
    <w:pPr>
      <w:keepNext/>
      <w:keepLines/>
      <w:spacing w:before="300"/>
      <w:outlineLvl w:val="3"/>
    </w:pPr>
    <w:rPr>
      <w:rFonts w:eastAsiaTheme="majorEastAsia" w:cstheme="majorBidi"/>
      <w:b/>
      <w:iCs/>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Webversie;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850120"/>
    <w:rPr>
      <w:rFonts w:ascii="Arial" w:hAnsi="Arial"/>
      <w:b/>
      <w:bCs/>
      <w:sz w:val="24"/>
      <w:szCs w:val="26"/>
    </w:rPr>
  </w:style>
  <w:style w:type="character" w:customStyle="1" w:styleId="Kop4Char">
    <w:name w:val="Kop 4 Char"/>
    <w:basedOn w:val="Standaardalinea-lettertype"/>
    <w:link w:val="Kop4"/>
    <w:uiPriority w:val="1"/>
    <w:rsid w:val="008017CD"/>
    <w:rPr>
      <w:rFonts w:ascii="Arial" w:eastAsiaTheme="majorEastAsia" w:hAnsi="Arial" w:cstheme="majorBidi"/>
      <w:b/>
      <w:iCs/>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4"/>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5"/>
      </w:numPr>
    </w:pPr>
  </w:style>
  <w:style w:type="numbering" w:customStyle="1" w:styleId="VNGGenummerdelijst">
    <w:name w:val="VNG Genummerde lijst"/>
    <w:uiPriority w:val="99"/>
    <w:rsid w:val="00B93830"/>
  </w:style>
  <w:style w:type="numbering" w:customStyle="1" w:styleId="VNGOngenummerdelijst">
    <w:name w:val="VNG Ongenummerde lijst"/>
    <w:uiPriority w:val="99"/>
    <w:rsid w:val="00B93830"/>
    <w:pPr>
      <w:numPr>
        <w:numId w:val="7"/>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numbering" w:customStyle="1" w:styleId="Geenlijst1">
    <w:name w:val="Geen lijst1"/>
    <w:next w:val="Geenlijst"/>
    <w:uiPriority w:val="99"/>
    <w:semiHidden/>
    <w:unhideWhenUsed/>
    <w:rsid w:val="008017CD"/>
  </w:style>
  <w:style w:type="numbering" w:customStyle="1" w:styleId="VNGGenummerdekoppen2tm61">
    <w:name w:val="VNG Genummerde koppen 2 t/m 61"/>
    <w:uiPriority w:val="99"/>
    <w:rsid w:val="008017CD"/>
    <w:pPr>
      <w:numPr>
        <w:numId w:val="1"/>
      </w:numPr>
    </w:pPr>
  </w:style>
  <w:style w:type="table" w:customStyle="1" w:styleId="Tabelraster1">
    <w:name w:val="Tabelraster1"/>
    <w:basedOn w:val="Standaardtabel"/>
    <w:next w:val="Tabelraster"/>
    <w:uiPriority w:val="39"/>
    <w:rsid w:val="008017CD"/>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next w:val="Tabelrasterlicht"/>
    <w:uiPriority w:val="40"/>
    <w:rsid w:val="008017CD"/>
    <w:pPr>
      <w:spacing w:line="280" w:lineRule="atLeast"/>
    </w:pPr>
    <w:rPr>
      <w:rFonts w:ascii="Arial" w:hAnsi="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Onopgemaaktetabel11">
    <w:name w:val="Onopgemaakte tabel 11"/>
    <w:basedOn w:val="Standaardtabel"/>
    <w:next w:val="Onopgemaaktetabel1"/>
    <w:uiPriority w:val="41"/>
    <w:rsid w:val="008017CD"/>
    <w:pPr>
      <w:spacing w:line="280" w:lineRule="atLeast"/>
    </w:pPr>
    <w:rPr>
      <w:rFonts w:ascii="Arial" w:hAnsi="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next w:val="Onopgemaaktetabel2"/>
    <w:uiPriority w:val="42"/>
    <w:rsid w:val="008017CD"/>
    <w:pPr>
      <w:spacing w:line="280" w:lineRule="atLeast"/>
    </w:pPr>
    <w:rPr>
      <w:rFonts w:ascii="Arial" w:hAnsi="Arial"/>
    </w:rPr>
    <w:tblPr>
      <w:tblStyleRowBandSize w:val="1"/>
      <w:tblStyleColBandSize w:val="1"/>
      <w:tblBorders>
        <w:top w:val="single" w:sz="4" w:space="0" w:color="318BFF"/>
        <w:bottom w:val="single" w:sz="4" w:space="0" w:color="318BFF"/>
      </w:tblBorders>
    </w:tblPr>
    <w:tblStylePr w:type="firstRow">
      <w:rPr>
        <w:b/>
        <w:bCs/>
      </w:rPr>
      <w:tblPr/>
      <w:tcPr>
        <w:tcBorders>
          <w:bottom w:val="single" w:sz="4" w:space="0" w:color="318BFF"/>
        </w:tcBorders>
      </w:tcPr>
    </w:tblStylePr>
    <w:tblStylePr w:type="lastRow">
      <w:rPr>
        <w:b/>
        <w:bCs/>
      </w:rPr>
      <w:tblPr/>
      <w:tcPr>
        <w:tcBorders>
          <w:top w:val="single" w:sz="4" w:space="0" w:color="318BFF"/>
        </w:tcBorders>
      </w:tcPr>
    </w:tblStylePr>
    <w:tblStylePr w:type="firstCol">
      <w:rPr>
        <w:b/>
        <w:bCs/>
      </w:rPr>
    </w:tblStylePr>
    <w:tblStylePr w:type="lastCol">
      <w:rPr>
        <w:b/>
        <w:bCs/>
      </w:rPr>
    </w:tblStylePr>
    <w:tblStylePr w:type="band1Vert">
      <w:tblPr/>
      <w:tcPr>
        <w:tcBorders>
          <w:left w:val="single" w:sz="4" w:space="0" w:color="318BFF"/>
          <w:right w:val="single" w:sz="4" w:space="0" w:color="318BFF"/>
        </w:tcBorders>
      </w:tcPr>
    </w:tblStylePr>
    <w:tblStylePr w:type="band2Vert">
      <w:tblPr/>
      <w:tcPr>
        <w:tcBorders>
          <w:left w:val="single" w:sz="4" w:space="0" w:color="318BFF"/>
          <w:right w:val="single" w:sz="4" w:space="0" w:color="318BFF"/>
        </w:tcBorders>
      </w:tcPr>
    </w:tblStylePr>
    <w:tblStylePr w:type="band1Horz">
      <w:tblPr/>
      <w:tcPr>
        <w:tcBorders>
          <w:top w:val="single" w:sz="4" w:space="0" w:color="318BFF"/>
          <w:bottom w:val="single" w:sz="4" w:space="0" w:color="318BFF"/>
        </w:tcBorders>
      </w:tcPr>
    </w:tblStylePr>
  </w:style>
  <w:style w:type="table" w:customStyle="1" w:styleId="Onopgemaaktetabel31">
    <w:name w:val="Onopgemaakte tabel 31"/>
    <w:basedOn w:val="Standaardtabel"/>
    <w:next w:val="Onopgemaaktetabel3"/>
    <w:uiPriority w:val="43"/>
    <w:rsid w:val="008017CD"/>
    <w:pPr>
      <w:spacing w:line="280" w:lineRule="atLeast"/>
    </w:pPr>
    <w:rPr>
      <w:rFonts w:ascii="Arial" w:hAnsi="Arial"/>
    </w:rPr>
    <w:tblPr>
      <w:tblStyleRowBandSize w:val="1"/>
      <w:tblStyleColBandSize w:val="1"/>
    </w:tblPr>
    <w:tblStylePr w:type="firstRow">
      <w:rPr>
        <w:b/>
        <w:bCs/>
        <w:caps/>
      </w:rPr>
      <w:tblPr/>
      <w:tcPr>
        <w:tcBorders>
          <w:bottom w:val="single" w:sz="4" w:space="0" w:color="318BFF"/>
        </w:tcBorders>
      </w:tcPr>
    </w:tblStylePr>
    <w:tblStylePr w:type="lastRow">
      <w:rPr>
        <w:b/>
        <w:bCs/>
        <w:caps/>
      </w:rPr>
      <w:tblPr/>
      <w:tcPr>
        <w:tcBorders>
          <w:top w:val="nil"/>
        </w:tcBorders>
      </w:tcPr>
    </w:tblStylePr>
    <w:tblStylePr w:type="firstCol">
      <w:rPr>
        <w:b/>
        <w:bCs/>
        <w:caps/>
      </w:rPr>
      <w:tblPr/>
      <w:tcPr>
        <w:tcBorders>
          <w:right w:val="single" w:sz="4" w:space="0" w:color="318BF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next w:val="Onopgemaaktetabel4"/>
    <w:uiPriority w:val="44"/>
    <w:rsid w:val="008017CD"/>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next w:val="Onopgemaaktetabel5"/>
    <w:uiPriority w:val="45"/>
    <w:rsid w:val="008017CD"/>
    <w:pPr>
      <w:spacing w:line="280" w:lineRule="atLeast"/>
    </w:pPr>
    <w:rPr>
      <w:rFonts w:ascii="Arial" w:hAnsi="Arial"/>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318BFF"/>
        </w:tcBorders>
        <w:shd w:val="clear" w:color="auto" w:fill="FFFFFF"/>
      </w:tcPr>
    </w:tblStylePr>
    <w:tblStylePr w:type="lastRow">
      <w:rPr>
        <w:rFonts w:ascii="Calibri Light" w:eastAsia="Times New Roman" w:hAnsi="Calibri Light" w:cs="Times New Roman"/>
        <w:i/>
        <w:iCs/>
        <w:sz w:val="26"/>
      </w:rPr>
      <w:tblPr/>
      <w:tcPr>
        <w:tcBorders>
          <w:top w:val="single" w:sz="4" w:space="0" w:color="318BF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318BFF"/>
        </w:tcBorders>
        <w:shd w:val="clear" w:color="auto" w:fill="FFFFFF"/>
      </w:tcPr>
    </w:tblStylePr>
    <w:tblStylePr w:type="lastCol">
      <w:rPr>
        <w:rFonts w:ascii="Calibri Light" w:eastAsia="Times New Roman" w:hAnsi="Calibri Light" w:cs="Times New Roman"/>
        <w:i/>
        <w:iCs/>
        <w:sz w:val="26"/>
      </w:rPr>
      <w:tblPr/>
      <w:tcPr>
        <w:tcBorders>
          <w:left w:val="single" w:sz="4" w:space="0" w:color="318BF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1">
    <w:name w:val="VNG tabel groen1"/>
    <w:basedOn w:val="Standaardtabel"/>
    <w:uiPriority w:val="99"/>
    <w:rsid w:val="008017CD"/>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1">
    <w:name w:val="VNG tabel paars1"/>
    <w:basedOn w:val="Standaardtabel"/>
    <w:uiPriority w:val="99"/>
    <w:rsid w:val="008017CD"/>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Rastertabel1licht-Accent11">
    <w:name w:val="Rastertabel 1 licht - Accent 11"/>
    <w:basedOn w:val="Standaardtabel"/>
    <w:next w:val="Rastertabel1licht-Accent1"/>
    <w:uiPriority w:val="46"/>
    <w:rsid w:val="008017CD"/>
    <w:pPr>
      <w:spacing w:line="280" w:lineRule="atLeast"/>
    </w:pPr>
    <w:rPr>
      <w:rFonts w:ascii="Arial" w:hAnsi="Arial"/>
    </w:rPr>
    <w:tblPr>
      <w:tblStyleRowBandSize w:val="1"/>
      <w:tblStyleColBandSize w:val="1"/>
      <w:tblBorders>
        <w:top w:val="single" w:sz="4" w:space="0" w:color="5BA3FF"/>
        <w:left w:val="single" w:sz="4" w:space="0" w:color="5BA3FF"/>
        <w:bottom w:val="single" w:sz="4" w:space="0" w:color="5BA3FF"/>
        <w:right w:val="single" w:sz="4" w:space="0" w:color="5BA3FF"/>
        <w:insideH w:val="single" w:sz="4" w:space="0" w:color="5BA3FF"/>
        <w:insideV w:val="single" w:sz="4" w:space="0" w:color="5BA3FF"/>
      </w:tblBorders>
    </w:tblPr>
    <w:tblStylePr w:type="firstRow">
      <w:rPr>
        <w:b/>
        <w:bCs/>
      </w:rPr>
      <w:tblPr/>
      <w:tcPr>
        <w:tcBorders>
          <w:bottom w:val="single" w:sz="12" w:space="0" w:color="0975FF"/>
        </w:tcBorders>
      </w:tcPr>
    </w:tblStylePr>
    <w:tblStylePr w:type="lastRow">
      <w:rPr>
        <w:b/>
        <w:bCs/>
      </w:rPr>
      <w:tblPr/>
      <w:tcPr>
        <w:tcBorders>
          <w:top w:val="double" w:sz="2" w:space="0" w:color="0975FF"/>
        </w:tcBorders>
      </w:tcPr>
    </w:tblStylePr>
    <w:tblStylePr w:type="firstCol">
      <w:rPr>
        <w:b/>
        <w:bCs/>
      </w:rPr>
    </w:tblStylePr>
    <w:tblStylePr w:type="lastCol">
      <w:rPr>
        <w:b/>
        <w:bCs/>
      </w:rPr>
    </w:tblStylePr>
  </w:style>
  <w:style w:type="numbering" w:customStyle="1" w:styleId="VNGGenummerdelijst1">
    <w:name w:val="VNG Genummerde lijst1"/>
    <w:uiPriority w:val="99"/>
    <w:rsid w:val="008017CD"/>
    <w:pPr>
      <w:numPr>
        <w:numId w:val="2"/>
      </w:numPr>
    </w:pPr>
  </w:style>
  <w:style w:type="numbering" w:customStyle="1" w:styleId="VNGOngenummerdelijst1">
    <w:name w:val="VNG Ongenummerde lijst1"/>
    <w:uiPriority w:val="99"/>
    <w:rsid w:val="008017CD"/>
    <w:pPr>
      <w:numPr>
        <w:numId w:val="12"/>
      </w:numPr>
    </w:pPr>
  </w:style>
  <w:style w:type="table" w:customStyle="1" w:styleId="VNGtabeloranje1">
    <w:name w:val="VNG tabel oranje1"/>
    <w:basedOn w:val="VNGtabelgroen"/>
    <w:uiPriority w:val="99"/>
    <w:rsid w:val="008017CD"/>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sz w:val="16"/>
      </w:rPr>
      <w:tblPr/>
      <w:trPr>
        <w:cantSplit w:val="0"/>
        <w:tblHeader/>
      </w:trPr>
      <w:tcPr>
        <w:shd w:val="clear" w:color="auto" w:fill="FFC875"/>
      </w:tcPr>
    </w:tblStylePr>
  </w:style>
  <w:style w:type="table" w:customStyle="1" w:styleId="VNGtabelrood1">
    <w:name w:val="VNG tabel rood1"/>
    <w:basedOn w:val="VNGtabelgroen"/>
    <w:uiPriority w:val="99"/>
    <w:rsid w:val="008017CD"/>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1">
    <w:name w:val="VNG tabel licht blauw1"/>
    <w:basedOn w:val="VNGtabelgroen"/>
    <w:uiPriority w:val="99"/>
    <w:rsid w:val="008017CD"/>
    <w:rPr>
      <w:color w:val="002C64"/>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1">
    <w:name w:val="VNG tabel geel1"/>
    <w:basedOn w:val="VNGtabelgroen"/>
    <w:uiPriority w:val="99"/>
    <w:rsid w:val="008017CD"/>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sz w:val="16"/>
      </w:rPr>
      <w:tblPr/>
      <w:trPr>
        <w:cantSplit w:val="0"/>
        <w:tblHeader/>
      </w:trPr>
      <w:tcPr>
        <w:shd w:val="clear" w:color="auto" w:fill="FCDE65"/>
      </w:tcPr>
    </w:tblStylePr>
  </w:style>
  <w:style w:type="table" w:customStyle="1" w:styleId="VNGtabelmiddenblauw1">
    <w:name w:val="VNG tabel midden blauw1"/>
    <w:basedOn w:val="VNGtabelgroen"/>
    <w:uiPriority w:val="99"/>
    <w:rsid w:val="008017CD"/>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numbering" w:customStyle="1" w:styleId="Stijl11">
    <w:name w:val="Stijl11"/>
    <w:uiPriority w:val="99"/>
    <w:rsid w:val="008017CD"/>
    <w:pPr>
      <w:numPr>
        <w:numId w:val="6"/>
      </w:numPr>
    </w:pPr>
  </w:style>
  <w:style w:type="paragraph" w:styleId="Tekstopmerking">
    <w:name w:val="annotation text"/>
    <w:basedOn w:val="Standaard"/>
    <w:link w:val="TekstopmerkingChar"/>
    <w:uiPriority w:val="99"/>
    <w:semiHidden/>
    <w:unhideWhenUsed/>
    <w:rsid w:val="008017CD"/>
    <w:pPr>
      <w:spacing w:line="240" w:lineRule="auto"/>
    </w:pPr>
  </w:style>
  <w:style w:type="character" w:customStyle="1" w:styleId="TekstopmerkingChar">
    <w:name w:val="Tekst opmerking Char"/>
    <w:basedOn w:val="Standaardalinea-lettertype"/>
    <w:link w:val="Tekstopmerking"/>
    <w:uiPriority w:val="99"/>
    <w:semiHidden/>
    <w:rsid w:val="008017CD"/>
    <w:rPr>
      <w:rFonts w:ascii="Arial" w:hAnsi="Arial"/>
    </w:rPr>
  </w:style>
  <w:style w:type="character" w:styleId="Verwijzingopmerking">
    <w:name w:val="annotation reference"/>
    <w:basedOn w:val="Standaardalinea-lettertype"/>
    <w:uiPriority w:val="99"/>
    <w:semiHidden/>
    <w:unhideWhenUsed/>
    <w:rsid w:val="008017CD"/>
    <w:rPr>
      <w:sz w:val="16"/>
      <w:szCs w:val="16"/>
    </w:rPr>
  </w:style>
  <w:style w:type="table" w:customStyle="1" w:styleId="VNGTabel">
    <w:name w:val="VNG Tabel"/>
    <w:basedOn w:val="Standaardtabel"/>
    <w:uiPriority w:val="99"/>
    <w:qFormat/>
    <w:rsid w:val="008017CD"/>
    <w:pPr>
      <w:spacing w:line="280" w:lineRule="exact"/>
    </w:pPr>
    <w:rPr>
      <w:rFonts w:ascii="Arial" w:hAnsi="Arial"/>
      <w:sz w:val="16"/>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spacing w:line="280" w:lineRule="exact"/>
      </w:pPr>
      <w:rPr>
        <w:rFonts w:ascii="Arial" w:hAnsi="Arial" w:cs="Arial" w:hint="default"/>
        <w:b/>
        <w:sz w:val="16"/>
        <w:szCs w:val="16"/>
      </w:rPr>
    </w:tblStylePr>
  </w:style>
  <w:style w:type="paragraph" w:customStyle="1" w:styleId="OPArtikelTitel">
    <w:name w:val="OP_Artikel_Titel"/>
    <w:next w:val="Standaard"/>
    <w:qFormat/>
    <w:rsid w:val="008017CD"/>
    <w:pPr>
      <w:spacing w:before="120"/>
    </w:pPr>
    <w:rPr>
      <w:rFonts w:ascii="Lucida Sans Unicode" w:hAnsi="Lucida Sans Unicode" w:cs="Arial"/>
      <w:b/>
      <w:bCs/>
      <w:sz w:val="22"/>
    </w:rPr>
  </w:style>
  <w:style w:type="paragraph" w:styleId="Onderwerpvanopmerking">
    <w:name w:val="annotation subject"/>
    <w:basedOn w:val="Tekstopmerking"/>
    <w:next w:val="Tekstopmerking"/>
    <w:link w:val="OnderwerpvanopmerkingChar"/>
    <w:semiHidden/>
    <w:unhideWhenUsed/>
    <w:rsid w:val="008017CD"/>
    <w:rPr>
      <w:b/>
      <w:bCs/>
    </w:rPr>
  </w:style>
  <w:style w:type="character" w:customStyle="1" w:styleId="OnderwerpvanopmerkingChar">
    <w:name w:val="Onderwerp van opmerking Char"/>
    <w:basedOn w:val="TekstopmerkingChar"/>
    <w:link w:val="Onderwerpvanopmerking"/>
    <w:semiHidden/>
    <w:rsid w:val="008017CD"/>
    <w:rPr>
      <w:rFonts w:ascii="Arial" w:hAnsi="Arial"/>
      <w:b/>
      <w:bCs/>
    </w:rPr>
  </w:style>
  <w:style w:type="character" w:customStyle="1" w:styleId="ol">
    <w:name w:val="ol"/>
    <w:basedOn w:val="Standaardalinea-lettertype"/>
    <w:rsid w:val="008017CD"/>
  </w:style>
  <w:style w:type="paragraph" w:styleId="Revisie">
    <w:name w:val="Revision"/>
    <w:hidden/>
    <w:uiPriority w:val="99"/>
    <w:semiHidden/>
    <w:rsid w:val="00CF1C4F"/>
    <w:rPr>
      <w:rFonts w:ascii="Arial" w:hAnsi="Arial"/>
    </w:rPr>
  </w:style>
  <w:style w:type="character" w:styleId="Onopgelostemelding">
    <w:name w:val="Unresolved Mention"/>
    <w:basedOn w:val="Standaardalinea-lettertype"/>
    <w:uiPriority w:val="99"/>
    <w:semiHidden/>
    <w:unhideWhenUsed/>
    <w:rsid w:val="00487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YT7NX5SARR6U-1339359107-18</_dlc_DocId>
    <_dlc_DocIdUrl xmlns="3ab34907-cfea-4875-a9e3-dcc53d1d57a8">
      <Url>https://willemshof.vng.nl/dsr/modgb/_layouts/15/DocIdRedir.aspx?ID=YT7NX5SARR6U-1339359107-18</Url>
      <Description>YT7NX5SARR6U-1339359107-18</Description>
    </_dlc_DocIdUrl>
    <TaxKeywordTaxHTField xmlns="3ab34907-cfea-4875-a9e3-dcc53d1d57a8">
      <Terms xmlns="http://schemas.microsoft.com/office/infopath/2007/PartnerControls"/>
    </TaxKeywordTaxHTField>
    <TaxCatchAll xmlns="3ab34907-cfea-4875-a9e3-dcc53d1d57a8"/>
  </documentManagement>
</p:properties>
</file>

<file path=customXml/item4.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0EE4FDB229B06640A51086239EBF317A" ma:contentTypeVersion="3" ma:contentTypeDescription="Een nieuw document maken." ma:contentTypeScope="" ma:versionID="2ef7b37c88fdc94777dad5da8b445624">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269C9F-8D4C-46C4-84E3-FE7CE2FB3F58}">
  <ds:schemaRefs>
    <ds:schemaRef ds:uri="http://schemas.microsoft.com/sharepoint/v3/contenttype/forms"/>
  </ds:schemaRefs>
</ds:datastoreItem>
</file>

<file path=customXml/itemProps2.xml><?xml version="1.0" encoding="utf-8"?>
<ds:datastoreItem xmlns:ds="http://schemas.openxmlformats.org/officeDocument/2006/customXml" ds:itemID="{79490EFA-E3F2-4994-A7F5-451C9B2710C1}">
  <ds:schemaRefs>
    <ds:schemaRef ds:uri="http://schemas.openxmlformats.org/officeDocument/2006/bibliography"/>
  </ds:schemaRefs>
</ds:datastoreItem>
</file>

<file path=customXml/itemProps3.xml><?xml version="1.0" encoding="utf-8"?>
<ds:datastoreItem xmlns:ds="http://schemas.openxmlformats.org/officeDocument/2006/customXml" ds:itemID="{5F1D0818-AD65-454D-B23C-CF64681766D7}">
  <ds:schemaRefs>
    <ds:schemaRef ds:uri="http://schemas.microsoft.com/office/2006/metadata/properties"/>
    <ds:schemaRef ds:uri="http://schemas.microsoft.com/office/infopath/2007/PartnerControls"/>
    <ds:schemaRef ds:uri="3ab34907-cfea-4875-a9e3-dcc53d1d57a8"/>
  </ds:schemaRefs>
</ds:datastoreItem>
</file>

<file path=customXml/itemProps4.xml><?xml version="1.0" encoding="utf-8"?>
<ds:datastoreItem xmlns:ds="http://schemas.openxmlformats.org/officeDocument/2006/customXml" ds:itemID="{9A3029FA-D6F7-4B9B-AB38-64DF04C11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F3D3E0-94B3-47B1-8E65-85BD49C992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VNG_leegsjabloon</Template>
  <TotalTime>13</TotalTime>
  <Pages>2</Pages>
  <Words>719</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4794</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Jan Willem de Joode</dc:creator>
  <cp:lastModifiedBy>Marlies van Randwijk</cp:lastModifiedBy>
  <cp:revision>7</cp:revision>
  <cp:lastPrinted>2021-09-22T09:41:00Z</cp:lastPrinted>
  <dcterms:created xsi:type="dcterms:W3CDTF">2023-10-09T12:46:00Z</dcterms:created>
  <dcterms:modified xsi:type="dcterms:W3CDTF">2023-10-12T12:29:00Z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79ff4b19-77ad-46d3-b7de-39a1f51f1a27</vt:lpwstr>
  </property>
  <property fmtid="{D5CDD505-2E9C-101B-9397-08002B2CF9AE}" pid="3" name="ContentTypeId">
    <vt:lpwstr>0x01010000FB71FE4FA042D68DD5CCCCDB4ABCE4000EE4FDB229B06640A51086239EBF317A</vt:lpwstr>
  </property>
  <property fmtid="{D5CDD505-2E9C-101B-9397-08002B2CF9AE}" pid="4" name="TaxKeyword">
    <vt:lpwstr/>
  </property>
  <property fmtid="{D5CDD505-2E9C-101B-9397-08002B2CF9AE}" pid="5" name="CORSA_GUID">
    <vt:lpwstr>fe38ade7-9bda-cf9d-7f14-47ed6c0f1a8e</vt:lpwstr>
  </property>
  <property fmtid="{D5CDD505-2E9C-101B-9397-08002B2CF9AE}" pid="6" name="CORSA_OBJECTTYPE">
    <vt:lpwstr>S</vt:lpwstr>
  </property>
  <property fmtid="{D5CDD505-2E9C-101B-9397-08002B2CF9AE}" pid="7" name="CORSA_OBJECTID">
    <vt:lpwstr>B2101062</vt:lpwstr>
  </property>
  <property fmtid="{D5CDD505-2E9C-101B-9397-08002B2CF9AE}" pid="8" name="CORSA_VERSION">
    <vt:lpwstr>1</vt:lpwstr>
  </property>
</Properties>
</file>