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11E0" w14:textId="1430DA3E" w:rsidR="00F47F59" w:rsidRPr="00157846" w:rsidRDefault="00F47F59" w:rsidP="00F47F59">
      <w:pPr>
        <w:rPr>
          <w:b/>
          <w:sz w:val="32"/>
          <w:szCs w:val="32"/>
        </w:rPr>
      </w:pPr>
      <w:r w:rsidRPr="00157846">
        <w:rPr>
          <w:rFonts w:cs="Arial"/>
          <w:b/>
          <w:sz w:val="32"/>
          <w:szCs w:val="32"/>
        </w:rPr>
        <w:t xml:space="preserve">Was-wordt-tabel wijzigingen </w:t>
      </w:r>
      <w:r w:rsidR="000B0118" w:rsidRPr="00157846">
        <w:rPr>
          <w:b/>
          <w:sz w:val="32"/>
          <w:szCs w:val="32"/>
        </w:rPr>
        <w:t>Model Leidraad invordering gemeentelijke belastingen</w:t>
      </w:r>
      <w:r w:rsidR="00157846">
        <w:rPr>
          <w:b/>
          <w:sz w:val="32"/>
          <w:szCs w:val="32"/>
        </w:rPr>
        <w:t xml:space="preserve"> </w:t>
      </w:r>
      <w:r w:rsidR="00A43CED">
        <w:rPr>
          <w:b/>
          <w:sz w:val="32"/>
          <w:szCs w:val="32"/>
        </w:rPr>
        <w:t>(</w:t>
      </w:r>
      <w:r w:rsidR="00971A1A" w:rsidRPr="00157846">
        <w:rPr>
          <w:rFonts w:cs="Arial"/>
          <w:b/>
          <w:sz w:val="32"/>
          <w:szCs w:val="32"/>
        </w:rPr>
        <w:t>j</w:t>
      </w:r>
      <w:r w:rsidR="008B2F84" w:rsidRPr="00157846">
        <w:rPr>
          <w:rFonts w:cs="Arial"/>
          <w:b/>
          <w:sz w:val="32"/>
          <w:szCs w:val="32"/>
        </w:rPr>
        <w:t>uli</w:t>
      </w:r>
      <w:r w:rsidRPr="00157846">
        <w:rPr>
          <w:rFonts w:cs="Arial"/>
          <w:b/>
          <w:sz w:val="32"/>
          <w:szCs w:val="32"/>
        </w:rPr>
        <w:t xml:space="preserve"> 202</w:t>
      </w:r>
      <w:r w:rsidR="008B526C" w:rsidRPr="00157846">
        <w:rPr>
          <w:rFonts w:cs="Arial"/>
          <w:b/>
          <w:sz w:val="32"/>
          <w:szCs w:val="32"/>
        </w:rPr>
        <w:t>3</w:t>
      </w:r>
      <w:r w:rsidR="00A43CED">
        <w:rPr>
          <w:rFonts w:cs="Arial"/>
          <w:b/>
          <w:sz w:val="32"/>
          <w:szCs w:val="32"/>
        </w:rPr>
        <w:t>)</w:t>
      </w:r>
      <w:r w:rsidRPr="00157846">
        <w:rPr>
          <w:rFonts w:cs="Arial"/>
          <w:b/>
          <w:sz w:val="32"/>
          <w:szCs w:val="32"/>
        </w:rPr>
        <w:t xml:space="preserve"> </w:t>
      </w:r>
    </w:p>
    <w:p w14:paraId="03FE6A70" w14:textId="77777777" w:rsidR="00F47F59" w:rsidRPr="00F47F59" w:rsidRDefault="00F47F59" w:rsidP="00F47F59"/>
    <w:p w14:paraId="5245F6AB" w14:textId="77777777" w:rsidR="00F47F59" w:rsidRPr="00F47F59" w:rsidRDefault="00F47F59" w:rsidP="00F47F59">
      <w:pPr>
        <w:pBdr>
          <w:top w:val="single" w:sz="4" w:space="1" w:color="auto"/>
          <w:left w:val="single" w:sz="4" w:space="4" w:color="auto"/>
          <w:bottom w:val="single" w:sz="4" w:space="9" w:color="auto"/>
          <w:right w:val="single" w:sz="4" w:space="4" w:color="auto"/>
        </w:pBdr>
        <w:rPr>
          <w:rFonts w:cs="Arial"/>
          <w:b/>
          <w:bCs/>
        </w:rPr>
      </w:pPr>
      <w:r w:rsidRPr="00F47F59">
        <w:rPr>
          <w:rFonts w:cs="Arial"/>
          <w:b/>
          <w:bCs/>
        </w:rPr>
        <w:t>Leeswijzer modelbepalingen</w:t>
      </w:r>
    </w:p>
    <w:p w14:paraId="6114EFDC" w14:textId="77777777" w:rsidR="00F47F59" w:rsidRPr="00F47F59" w:rsidRDefault="00F47F59" w:rsidP="00F47F59">
      <w:pPr>
        <w:pBdr>
          <w:top w:val="single" w:sz="4" w:space="1" w:color="auto"/>
          <w:left w:val="single" w:sz="4" w:space="4" w:color="auto"/>
          <w:bottom w:val="single" w:sz="4" w:space="9" w:color="auto"/>
          <w:right w:val="single" w:sz="4" w:space="4" w:color="auto"/>
        </w:pBdr>
        <w:rPr>
          <w:rFonts w:cs="Arial"/>
          <w:b/>
          <w:bCs/>
        </w:rPr>
      </w:pPr>
      <w:r w:rsidRPr="00F47F59">
        <w:rPr>
          <w:rFonts w:cs="Arial"/>
        </w:rPr>
        <w:t xml:space="preserve">In de ‘bestaande tekst’ zijn de woorden en leestekens waaraan iets verandert, </w:t>
      </w:r>
      <w:r w:rsidRPr="00F47F59">
        <w:rPr>
          <w:rFonts w:cs="Arial"/>
          <w:i/>
        </w:rPr>
        <w:t>cursief</w:t>
      </w:r>
      <w:r w:rsidRPr="00F47F59">
        <w:rPr>
          <w:rFonts w:cs="Arial"/>
        </w:rPr>
        <w:t xml:space="preserve"> gezet en – als het een facultatieve bepaling betreft – ook </w:t>
      </w:r>
      <w:r w:rsidRPr="00F47F59">
        <w:rPr>
          <w:rFonts w:cs="Arial"/>
          <w:i/>
          <w:u w:val="single"/>
        </w:rPr>
        <w:t>onderstreept</w:t>
      </w:r>
      <w:r w:rsidRPr="00F47F59">
        <w:rPr>
          <w:rFonts w:cs="Arial"/>
        </w:rPr>
        <w:t xml:space="preserve"> (aangezien dan de hele bepaling cursief is in verband met het facultatieve karakter). In de ‘nieuwe tekst’ zijn de nieuwe woorden en leestekens </w:t>
      </w:r>
      <w:r w:rsidRPr="00F47F59">
        <w:rPr>
          <w:rFonts w:cs="Arial"/>
          <w:b/>
        </w:rPr>
        <w:t>vet</w:t>
      </w:r>
      <w:r w:rsidRPr="00F47F59">
        <w:rPr>
          <w:rFonts w:cs="Arial"/>
        </w:rPr>
        <w:t xml:space="preserve"> gedrukt (en </w:t>
      </w:r>
      <w:r w:rsidRPr="00F47F59">
        <w:rPr>
          <w:rFonts w:cs="Arial"/>
          <w:b/>
          <w:u w:val="single"/>
        </w:rPr>
        <w:t>onderstreept</w:t>
      </w:r>
      <w:r w:rsidRPr="00F47F59">
        <w:rPr>
          <w:rFonts w:cs="Arial"/>
        </w:rPr>
        <w:t xml:space="preserve"> in de gevallen waarin de bestaande tekst ook vetgedrukt is).</w:t>
      </w:r>
    </w:p>
    <w:p w14:paraId="7B42C0C8" w14:textId="77777777" w:rsidR="00F47F59" w:rsidRPr="00F47F59" w:rsidRDefault="00F47F59" w:rsidP="00F47F59"/>
    <w:p w14:paraId="68A7E443" w14:textId="14EC1FDD" w:rsidR="00971A1A" w:rsidRDefault="00971A1A" w:rsidP="00F47F59">
      <w:pPr>
        <w:rPr>
          <w:b/>
          <w:bCs/>
        </w:rPr>
      </w:pPr>
    </w:p>
    <w:tbl>
      <w:tblPr>
        <w:tblStyle w:val="VNGtabelmiddenblauw"/>
        <w:tblW w:w="9493" w:type="dxa"/>
        <w:tblLook w:val="04A0" w:firstRow="1" w:lastRow="0" w:firstColumn="1" w:lastColumn="0" w:noHBand="0" w:noVBand="1"/>
      </w:tblPr>
      <w:tblGrid>
        <w:gridCol w:w="4746"/>
        <w:gridCol w:w="4747"/>
      </w:tblGrid>
      <w:tr w:rsidR="00782535" w14:paraId="10397501" w14:textId="77777777" w:rsidTr="002348FC">
        <w:trPr>
          <w:cnfStyle w:val="100000000000" w:firstRow="1" w:lastRow="0" w:firstColumn="0" w:lastColumn="0" w:oddVBand="0" w:evenVBand="0" w:oddHBand="0" w:evenHBand="0" w:firstRowFirstColumn="0" w:firstRowLastColumn="0" w:lastRowFirstColumn="0" w:lastRowLastColumn="0"/>
        </w:trPr>
        <w:tc>
          <w:tcPr>
            <w:tcW w:w="4746" w:type="dxa"/>
          </w:tcPr>
          <w:p w14:paraId="7E5F8FBD" w14:textId="6FE5EB4D" w:rsidR="00782535" w:rsidRPr="00782535" w:rsidRDefault="00782535" w:rsidP="00F47F59">
            <w:pPr>
              <w:rPr>
                <w:bCs/>
              </w:rPr>
            </w:pPr>
            <w:bookmarkStart w:id="0" w:name="_Hlk138852692"/>
            <w:r w:rsidRPr="00782535">
              <w:rPr>
                <w:bCs/>
              </w:rPr>
              <w:t>WAS</w:t>
            </w:r>
          </w:p>
        </w:tc>
        <w:tc>
          <w:tcPr>
            <w:tcW w:w="4747" w:type="dxa"/>
          </w:tcPr>
          <w:p w14:paraId="331A3A40" w14:textId="28B3E3E1" w:rsidR="00782535" w:rsidRPr="00782535" w:rsidRDefault="00782535" w:rsidP="00F47F59">
            <w:pPr>
              <w:rPr>
                <w:bCs/>
              </w:rPr>
            </w:pPr>
            <w:r w:rsidRPr="00782535">
              <w:rPr>
                <w:bCs/>
              </w:rPr>
              <w:t>WORDT</w:t>
            </w:r>
          </w:p>
        </w:tc>
      </w:tr>
      <w:bookmarkEnd w:id="0"/>
      <w:tr w:rsidR="0030283D" w14:paraId="6DDC7DF7" w14:textId="77777777" w:rsidTr="002348FC">
        <w:tc>
          <w:tcPr>
            <w:tcW w:w="4746" w:type="dxa"/>
          </w:tcPr>
          <w:p w14:paraId="180A0DF0" w14:textId="77777777" w:rsidR="008B2F84" w:rsidRPr="000F3026" w:rsidRDefault="008B2F84" w:rsidP="00FF56B5">
            <w:pPr>
              <w:spacing w:after="0"/>
              <w:rPr>
                <w:b/>
              </w:rPr>
            </w:pPr>
            <w:r w:rsidRPr="000F3026">
              <w:rPr>
                <w:b/>
              </w:rPr>
              <w:t>14.2.14 Executoriale verkoop zilveren, gouden en platina werken</w:t>
            </w:r>
          </w:p>
          <w:p w14:paraId="54C55C78" w14:textId="77777777" w:rsidR="008B2F84" w:rsidRPr="00911C18" w:rsidRDefault="008B2F84" w:rsidP="00FF56B5">
            <w:pPr>
              <w:spacing w:after="0"/>
            </w:pPr>
            <w:r w:rsidRPr="00911C18">
              <w:t xml:space="preserve">De ontvanger moet er voor zorgdragen dat geen zilveren, gouden of platina werken die niet zijn voorzien van de stempeltekenen die volgens de Waarborgwet </w:t>
            </w:r>
            <w:r>
              <w:t xml:space="preserve">2019 </w:t>
            </w:r>
            <w:r w:rsidRPr="00911C18">
              <w:t>vereist zijn, in openbare verkoop worden gebracht of met dat doel worden tentoongesteld.</w:t>
            </w:r>
          </w:p>
          <w:p w14:paraId="3E3CFA9D" w14:textId="77777777" w:rsidR="00E73753" w:rsidRDefault="008B2F84" w:rsidP="00FF56B5">
            <w:pPr>
              <w:spacing w:after="0"/>
            </w:pPr>
            <w:r w:rsidRPr="00911C18">
              <w:t xml:space="preserve">Van het houden van een openbare verkoop waarin zilveren, gouden of platina werken voorkomen - al dan niet met het vereiste stempelteken - moet de ontvanger aangifte doen zoals </w:t>
            </w:r>
            <w:r w:rsidRPr="008B2F84">
              <w:rPr>
                <w:i/>
                <w:iCs/>
              </w:rPr>
              <w:t>artikel 46</w:t>
            </w:r>
            <w:r w:rsidRPr="00911C18">
              <w:t xml:space="preserve"> van de Waarborgwet </w:t>
            </w:r>
            <w:r>
              <w:t xml:space="preserve">2019 </w:t>
            </w:r>
            <w:r w:rsidRPr="00911C18">
              <w:t>dat voorschrijft.</w:t>
            </w:r>
          </w:p>
          <w:p w14:paraId="35AB552F" w14:textId="7B45C254" w:rsidR="00F02E4B" w:rsidRPr="008B2F84" w:rsidRDefault="00F02E4B" w:rsidP="00FF56B5">
            <w:pPr>
              <w:spacing w:after="0"/>
            </w:pPr>
          </w:p>
        </w:tc>
        <w:tc>
          <w:tcPr>
            <w:tcW w:w="4747" w:type="dxa"/>
          </w:tcPr>
          <w:p w14:paraId="6CFCBBA0" w14:textId="77777777" w:rsidR="008B2F84" w:rsidRPr="000F3026" w:rsidRDefault="008B2F84" w:rsidP="00FF56B5">
            <w:pPr>
              <w:spacing w:after="0"/>
              <w:rPr>
                <w:b/>
              </w:rPr>
            </w:pPr>
            <w:r w:rsidRPr="000F3026">
              <w:rPr>
                <w:b/>
              </w:rPr>
              <w:t>14.2.14 Executoriale verkoop zilveren, gouden en platina werken</w:t>
            </w:r>
          </w:p>
          <w:p w14:paraId="36B6E582" w14:textId="77777777" w:rsidR="008B2F84" w:rsidRPr="00911C18" w:rsidRDefault="008B2F84" w:rsidP="00FF56B5">
            <w:pPr>
              <w:spacing w:after="0"/>
            </w:pPr>
            <w:r w:rsidRPr="00911C18">
              <w:t xml:space="preserve">De ontvanger moet er voor zorgdragen dat geen zilveren, gouden of platina werken die niet zijn voorzien van de stempeltekenen die volgens de Waarborgwet </w:t>
            </w:r>
            <w:r>
              <w:t xml:space="preserve">2019 </w:t>
            </w:r>
            <w:r w:rsidRPr="00911C18">
              <w:t>vereist zijn, in openbare verkoop worden gebracht of met dat doel worden tentoongesteld.</w:t>
            </w:r>
          </w:p>
          <w:p w14:paraId="47427F99" w14:textId="77777777" w:rsidR="0030283D" w:rsidRDefault="008B2F84" w:rsidP="00FF56B5">
            <w:pPr>
              <w:spacing w:after="0"/>
            </w:pPr>
            <w:r w:rsidRPr="00911C18">
              <w:t xml:space="preserve">Van het houden van een openbare verkoop waarin zilveren, gouden of platina werken voorkomen - al dan niet met het vereiste stempelteken - moet de ontvanger aangifte doen zoals </w:t>
            </w:r>
            <w:r w:rsidRPr="008B2F84">
              <w:rPr>
                <w:b/>
                <w:bCs/>
              </w:rPr>
              <w:t>artikel 35</w:t>
            </w:r>
            <w:r w:rsidRPr="00911C18">
              <w:t xml:space="preserve"> van de Waarborgwet </w:t>
            </w:r>
            <w:r>
              <w:t xml:space="preserve">2019 </w:t>
            </w:r>
            <w:r w:rsidRPr="00911C18">
              <w:t>dat voorschrijft.</w:t>
            </w:r>
          </w:p>
          <w:p w14:paraId="08EFAD6A" w14:textId="44673AAB" w:rsidR="00F02E4B" w:rsidRPr="00782535" w:rsidRDefault="00F02E4B" w:rsidP="00FF56B5">
            <w:pPr>
              <w:spacing w:after="0"/>
              <w:rPr>
                <w:bCs/>
              </w:rPr>
            </w:pPr>
          </w:p>
        </w:tc>
      </w:tr>
      <w:tr w:rsidR="008B2F84" w14:paraId="3ECE3429" w14:textId="77777777" w:rsidTr="002348FC">
        <w:tc>
          <w:tcPr>
            <w:tcW w:w="4746" w:type="dxa"/>
          </w:tcPr>
          <w:p w14:paraId="2E27BE13" w14:textId="77777777" w:rsidR="008B2F84" w:rsidRPr="008B2F84" w:rsidRDefault="008B2F84" w:rsidP="008B2F84">
            <w:pPr>
              <w:spacing w:line="260" w:lineRule="atLeast"/>
              <w:rPr>
                <w:b/>
              </w:rPr>
            </w:pPr>
            <w:r w:rsidRPr="008B2F84">
              <w:rPr>
                <w:b/>
              </w:rPr>
              <w:t>19.3.2 Vooraankondiging van vordering op periodieke uitkeringen</w:t>
            </w:r>
          </w:p>
          <w:p w14:paraId="45B3BA2A" w14:textId="77777777" w:rsidR="008B2F84" w:rsidRPr="008B2F84" w:rsidRDefault="008B2F84" w:rsidP="008B2F84">
            <w:pPr>
              <w:spacing w:line="260" w:lineRule="atLeast"/>
              <w:rPr>
                <w:bCs/>
              </w:rPr>
            </w:pPr>
            <w:r w:rsidRPr="008B2F84">
              <w:rPr>
                <w:bCs/>
              </w:rPr>
              <w:t>Als de ontvanger het dwangbevel per post heeft betekend en de invordering vervolgt door een vordering onder de werkgever of door een andere vordering op een periodieke uitkering waaraan een beslagvrije voet is verbonden, is hij verplicht de belastingschuldige vooraf schriftelijk in kennis te stellen van zijn voornemen een vordering te doen.</w:t>
            </w:r>
          </w:p>
          <w:p w14:paraId="1AF9C03E" w14:textId="77777777" w:rsidR="008B2F84" w:rsidRPr="008B2F84" w:rsidRDefault="008B2F84" w:rsidP="008B2F84">
            <w:pPr>
              <w:spacing w:line="260" w:lineRule="atLeast"/>
              <w:rPr>
                <w:bCs/>
              </w:rPr>
            </w:pPr>
            <w:r w:rsidRPr="008B2F84">
              <w:rPr>
                <w:bCs/>
              </w:rPr>
              <w:t>De ontvanger doet de vooraankondiging niet eerder dan nadat vier dagen zijn verstreken na de datum waarop hij het afschrift van het dwangbevel met bevel tot betaling ter post heeft bezorgd.</w:t>
            </w:r>
          </w:p>
          <w:p w14:paraId="1B52FA7E" w14:textId="77777777" w:rsidR="008B2F84" w:rsidRDefault="008B2F84" w:rsidP="008B2F84">
            <w:pPr>
              <w:spacing w:line="260" w:lineRule="atLeast"/>
              <w:rPr>
                <w:bCs/>
                <w:i/>
                <w:iCs/>
              </w:rPr>
            </w:pPr>
            <w:r w:rsidRPr="008B2F84">
              <w:rPr>
                <w:bCs/>
                <w:i/>
                <w:iCs/>
              </w:rPr>
              <w:t>De ontvanger doet de betreffende vordering niet eerder dan zeven dagen na de dagtekening van de vooraankondiging. De vooraankondiging blijft achterwege als de ontvanger de vordering doet bij een werkgever of uitkeringsinstantie die reeds op vordering van de ontvanger een belastingaanslag van de belastingschuldige betaalt of zou moeten betalen.</w:t>
            </w:r>
          </w:p>
          <w:p w14:paraId="6B932656" w14:textId="2275C6A9" w:rsidR="00E73753" w:rsidRPr="008B2F84" w:rsidRDefault="00E73753" w:rsidP="008B2F84">
            <w:pPr>
              <w:spacing w:line="260" w:lineRule="atLeast"/>
              <w:rPr>
                <w:bCs/>
                <w:i/>
                <w:iCs/>
              </w:rPr>
            </w:pPr>
          </w:p>
        </w:tc>
        <w:tc>
          <w:tcPr>
            <w:tcW w:w="4747" w:type="dxa"/>
          </w:tcPr>
          <w:p w14:paraId="3EAE89AC" w14:textId="77777777" w:rsidR="008B2F84" w:rsidRPr="008B2F84" w:rsidRDefault="008B2F84" w:rsidP="008B2F84">
            <w:pPr>
              <w:spacing w:line="260" w:lineRule="atLeast"/>
              <w:rPr>
                <w:b/>
              </w:rPr>
            </w:pPr>
            <w:r w:rsidRPr="008B2F84">
              <w:rPr>
                <w:b/>
              </w:rPr>
              <w:t>19.3.2 Vooraankondiging van vordering op periodieke uitkeringen</w:t>
            </w:r>
          </w:p>
          <w:p w14:paraId="48E46C4B" w14:textId="77777777" w:rsidR="008B2F84" w:rsidRPr="008B2F84" w:rsidRDefault="008B2F84" w:rsidP="008B2F84">
            <w:pPr>
              <w:spacing w:line="260" w:lineRule="atLeast"/>
              <w:rPr>
                <w:bCs/>
              </w:rPr>
            </w:pPr>
            <w:r w:rsidRPr="008B2F84">
              <w:rPr>
                <w:bCs/>
              </w:rPr>
              <w:t>Als de ontvanger het dwangbevel per post heeft betekend en de invordering vervolgt door een vordering onder de werkgever of door een andere vordering op een periodieke uitkering waaraan een beslagvrije voet is verbonden, is hij verplicht de belastingschuldige vooraf schriftelijk in kennis te stellen van zijn voornemen een vordering te doen.</w:t>
            </w:r>
          </w:p>
          <w:p w14:paraId="7E1B46CB" w14:textId="77777777" w:rsidR="008B2F84" w:rsidRPr="008B2F84" w:rsidRDefault="008B2F84" w:rsidP="008B2F84">
            <w:pPr>
              <w:spacing w:line="260" w:lineRule="atLeast"/>
              <w:rPr>
                <w:bCs/>
              </w:rPr>
            </w:pPr>
            <w:r w:rsidRPr="008B2F84">
              <w:rPr>
                <w:bCs/>
              </w:rPr>
              <w:t>De ontvanger doet de vooraankondiging niet eerder dan nadat vier dagen zijn verstreken na de datum waarop hij het afschrift van het dwangbevel met bevel tot betaling ter post heeft bezorgd.</w:t>
            </w:r>
          </w:p>
          <w:p w14:paraId="0732B173" w14:textId="77777777" w:rsidR="008B2F84" w:rsidRPr="00782535" w:rsidRDefault="008B2F84" w:rsidP="008B2F84">
            <w:pPr>
              <w:spacing w:line="260" w:lineRule="atLeast"/>
              <w:rPr>
                <w:bCs/>
              </w:rPr>
            </w:pPr>
          </w:p>
        </w:tc>
      </w:tr>
    </w:tbl>
    <w:p w14:paraId="6C75CFD8" w14:textId="28797CC7" w:rsidR="00E7442E" w:rsidRDefault="00E7442E">
      <w:r>
        <w:br w:type="page"/>
      </w:r>
    </w:p>
    <w:tbl>
      <w:tblPr>
        <w:tblStyle w:val="VNGtabelmiddenblauw"/>
        <w:tblW w:w="9493" w:type="dxa"/>
        <w:tblLook w:val="04A0" w:firstRow="1" w:lastRow="0" w:firstColumn="1" w:lastColumn="0" w:noHBand="0" w:noVBand="1"/>
      </w:tblPr>
      <w:tblGrid>
        <w:gridCol w:w="4746"/>
        <w:gridCol w:w="4747"/>
      </w:tblGrid>
      <w:tr w:rsidR="008B2F84" w14:paraId="2F5691D8" w14:textId="77777777" w:rsidTr="002348FC">
        <w:trPr>
          <w:cnfStyle w:val="100000000000" w:firstRow="1" w:lastRow="0" w:firstColumn="0" w:lastColumn="0" w:oddVBand="0" w:evenVBand="0" w:oddHBand="0" w:evenHBand="0" w:firstRowFirstColumn="0" w:firstRowLastColumn="0" w:lastRowFirstColumn="0" w:lastRowLastColumn="0"/>
        </w:trPr>
        <w:tc>
          <w:tcPr>
            <w:tcW w:w="4746" w:type="dxa"/>
          </w:tcPr>
          <w:p w14:paraId="79F340D3" w14:textId="1BD32EDA" w:rsidR="008B2F84" w:rsidRPr="00D80BFC" w:rsidRDefault="00E7442E" w:rsidP="00D80BFC">
            <w:pPr>
              <w:rPr>
                <w:rFonts w:cstheme="minorHAnsi"/>
              </w:rPr>
            </w:pPr>
            <w:r>
              <w:rPr>
                <w:rFonts w:cstheme="minorHAnsi"/>
              </w:rPr>
              <w:lastRenderedPageBreak/>
              <w:t>WAS</w:t>
            </w:r>
          </w:p>
        </w:tc>
        <w:tc>
          <w:tcPr>
            <w:tcW w:w="4747" w:type="dxa"/>
          </w:tcPr>
          <w:p w14:paraId="040AD9EA" w14:textId="163758DD" w:rsidR="008B2F84" w:rsidRPr="00782535" w:rsidRDefault="00E7442E" w:rsidP="00E7442E">
            <w:pPr>
              <w:rPr>
                <w:bCs/>
              </w:rPr>
            </w:pPr>
            <w:r>
              <w:rPr>
                <w:bCs/>
              </w:rPr>
              <w:t>WORDT</w:t>
            </w:r>
          </w:p>
        </w:tc>
      </w:tr>
      <w:tr w:rsidR="000C6A9E" w14:paraId="651B9BE5" w14:textId="77777777" w:rsidTr="002348FC">
        <w:tc>
          <w:tcPr>
            <w:tcW w:w="4746" w:type="dxa"/>
          </w:tcPr>
          <w:p w14:paraId="680FE7EF" w14:textId="77777777" w:rsidR="000C6A9E" w:rsidRPr="00403AB4" w:rsidRDefault="000C6A9E" w:rsidP="000C6A9E">
            <w:pPr>
              <w:spacing w:after="0"/>
              <w:rPr>
                <w:b/>
                <w:bCs/>
              </w:rPr>
            </w:pPr>
            <w:r w:rsidRPr="00403AB4">
              <w:rPr>
                <w:b/>
                <w:bCs/>
              </w:rPr>
              <w:t>Artikel 26 Kwijtschelding van belastingen</w:t>
            </w:r>
          </w:p>
          <w:p w14:paraId="4541A33A" w14:textId="77777777" w:rsidR="000C6A9E" w:rsidRPr="001767FC" w:rsidRDefault="000C6A9E" w:rsidP="000C6A9E">
            <w:pPr>
              <w:spacing w:after="0"/>
              <w:rPr>
                <w:rFonts w:cstheme="minorHAnsi"/>
              </w:rPr>
            </w:pPr>
            <w:r w:rsidRPr="00403AB4">
              <w:rPr>
                <w:rStyle w:val="Nadruk"/>
                <w:rFonts w:cstheme="minorHAnsi"/>
              </w:rPr>
              <w:t>Artikel 26, eerste lid, van de wet bepaalt dat bij ministeriële regeling regels worden gegeven voor gehele of gedeeltelijke kwijtschelding van rijksbelastingen. De ontvanger verleent gehele of gedeeltelijke kwijtschelding als de belastingschuldige niet in staat is anders dan met buitengewoon bezwaar de belastingaanslag te betalen. In het algemeen zal van buitengewoon bezwaar sprake zijn als de middelen om een belastingaanslag te betalen ontbreken en ook niet binnen afzienbare tijd worden verwacht.</w:t>
            </w:r>
          </w:p>
          <w:p w14:paraId="021FB507" w14:textId="77777777" w:rsidR="000C6A9E" w:rsidRDefault="000C6A9E" w:rsidP="000C6A9E">
            <w:pPr>
              <w:spacing w:after="0"/>
              <w:rPr>
                <w:rStyle w:val="Nadruk"/>
                <w:rFonts w:cstheme="minorHAnsi"/>
              </w:rPr>
            </w:pPr>
            <w:r w:rsidRPr="00403AB4">
              <w:rPr>
                <w:rStyle w:val="Nadruk"/>
                <w:rFonts w:cstheme="minorHAnsi"/>
              </w:rPr>
              <w:t xml:space="preserve">De kwijtscheldingsregels op basis van artikel 26 van de wet zijn vastgelegd in de regeling. </w:t>
            </w:r>
          </w:p>
          <w:p w14:paraId="15706F90" w14:textId="77777777" w:rsidR="000C6A9E" w:rsidRDefault="000C6A9E" w:rsidP="000C6A9E">
            <w:pPr>
              <w:spacing w:after="0"/>
              <w:rPr>
                <w:rStyle w:val="Nadruk"/>
                <w:rFonts w:cstheme="minorHAnsi"/>
              </w:rPr>
            </w:pPr>
          </w:p>
          <w:p w14:paraId="1574ACA0" w14:textId="77777777" w:rsidR="000C6A9E" w:rsidRDefault="000C6A9E" w:rsidP="000C6A9E">
            <w:pPr>
              <w:spacing w:after="0"/>
              <w:rPr>
                <w:rStyle w:val="Nadruk"/>
                <w:rFonts w:cstheme="minorHAnsi"/>
              </w:rPr>
            </w:pPr>
          </w:p>
          <w:p w14:paraId="380F4147" w14:textId="77777777" w:rsidR="000C6A9E" w:rsidRDefault="000C6A9E" w:rsidP="000C6A9E">
            <w:pPr>
              <w:spacing w:after="0"/>
              <w:rPr>
                <w:rStyle w:val="Nadruk"/>
                <w:rFonts w:cstheme="minorHAnsi"/>
              </w:rPr>
            </w:pPr>
          </w:p>
          <w:p w14:paraId="3C4821C0" w14:textId="77777777" w:rsidR="000C6A9E" w:rsidRDefault="000C6A9E" w:rsidP="000C6A9E">
            <w:pPr>
              <w:spacing w:after="0"/>
              <w:rPr>
                <w:rStyle w:val="Nadruk"/>
                <w:rFonts w:cstheme="minorHAnsi"/>
              </w:rPr>
            </w:pPr>
          </w:p>
          <w:p w14:paraId="36439E3D" w14:textId="77777777" w:rsidR="000C6A9E" w:rsidRDefault="000C6A9E" w:rsidP="000C6A9E">
            <w:pPr>
              <w:spacing w:after="0"/>
              <w:rPr>
                <w:rStyle w:val="Nadruk"/>
                <w:rFonts w:cstheme="minorHAnsi"/>
              </w:rPr>
            </w:pPr>
          </w:p>
          <w:p w14:paraId="78FD44D4" w14:textId="77777777" w:rsidR="000C6A9E" w:rsidRDefault="000C6A9E" w:rsidP="000C6A9E">
            <w:pPr>
              <w:spacing w:after="0"/>
              <w:rPr>
                <w:rStyle w:val="Nadruk"/>
                <w:rFonts w:cstheme="minorHAnsi"/>
              </w:rPr>
            </w:pPr>
          </w:p>
          <w:p w14:paraId="5B1A5BAE" w14:textId="48C642CB" w:rsidR="000C6A9E" w:rsidRPr="001767FC" w:rsidRDefault="000C6A9E" w:rsidP="000C6A9E">
            <w:pPr>
              <w:spacing w:after="0"/>
              <w:rPr>
                <w:rFonts w:cstheme="minorHAnsi"/>
              </w:rPr>
            </w:pPr>
            <w:r w:rsidRPr="00403AB4">
              <w:rPr>
                <w:rStyle w:val="Nadruk"/>
                <w:rFonts w:cstheme="minorHAnsi"/>
              </w:rPr>
              <w:t>In de artikelen 19a en 22a van de regeling zijn de doelstellingen van de schuldsaneringsregeling natuurlijke personen in de belastingsfeer tot uitdrukking gebracht.</w:t>
            </w:r>
          </w:p>
          <w:p w14:paraId="1D3C1408" w14:textId="77777777" w:rsidR="000C6A9E" w:rsidRPr="00D80BFC" w:rsidRDefault="000C6A9E" w:rsidP="000C6A9E">
            <w:pPr>
              <w:spacing w:after="0"/>
              <w:rPr>
                <w:rFonts w:cstheme="minorHAnsi"/>
                <w:u w:val="single"/>
              </w:rPr>
            </w:pPr>
            <w:r w:rsidRPr="00D80BFC">
              <w:rPr>
                <w:rStyle w:val="Nadruk"/>
                <w:rFonts w:cstheme="minorHAnsi"/>
                <w:u w:val="single"/>
              </w:rPr>
              <w:t>Bij de berekening van de kwijtschelding worden de kosten van bestaan gesteld op [</w:t>
            </w:r>
            <w:r w:rsidRPr="00D80BFC">
              <w:rPr>
                <w:rStyle w:val="Nadruk"/>
                <w:rFonts w:cstheme="minorHAnsi"/>
                <w:b/>
                <w:u w:val="single"/>
              </w:rPr>
              <w:t>hier opnemen percentage van minimaal 90% en maximaal 100%</w:t>
            </w:r>
            <w:r w:rsidRPr="00D80BFC">
              <w:rPr>
                <w:rStyle w:val="Nadruk"/>
                <w:rFonts w:cstheme="minorHAnsi"/>
                <w:u w:val="single"/>
              </w:rPr>
              <w:t>] van de bijstandsnorm. Voor AOW-gerechtigde personen worden de kosten van bestaan gesteld op [</w:t>
            </w:r>
            <w:r w:rsidRPr="00D80BFC">
              <w:rPr>
                <w:rStyle w:val="Nadruk"/>
                <w:rFonts w:cstheme="minorHAnsi"/>
                <w:b/>
                <w:u w:val="single"/>
              </w:rPr>
              <w:t>getal: min. 90 van de bijstandsnorm en max. 100</w:t>
            </w:r>
            <w:r w:rsidRPr="00D80BFC">
              <w:rPr>
                <w:rStyle w:val="Nadruk"/>
                <w:rFonts w:cstheme="minorHAnsi"/>
                <w:u w:val="single"/>
              </w:rPr>
              <w:t>] percent van het toepasselijke, in artikel 3 van de Regeling kwijtschelding belasting medeoverheden bedoelde netto-ouderdomspensioen. [Zie het raadsbesluit van [</w:t>
            </w:r>
            <w:r w:rsidRPr="00D80BFC">
              <w:rPr>
                <w:rStyle w:val="Nadruk"/>
                <w:rFonts w:cstheme="minorHAnsi"/>
                <w:b/>
                <w:u w:val="single"/>
              </w:rPr>
              <w:t>datum</w:t>
            </w:r>
            <w:r w:rsidRPr="00D80BFC">
              <w:rPr>
                <w:rStyle w:val="Nadruk"/>
                <w:rFonts w:cstheme="minorHAnsi"/>
                <w:u w:val="single"/>
              </w:rPr>
              <w:t>], [</w:t>
            </w:r>
            <w:r w:rsidRPr="00D80BFC">
              <w:rPr>
                <w:rStyle w:val="Nadruk"/>
                <w:rFonts w:cstheme="minorHAnsi"/>
                <w:b/>
                <w:u w:val="single"/>
              </w:rPr>
              <w:t>nummer</w:t>
            </w:r>
            <w:r w:rsidRPr="00D80BFC">
              <w:rPr>
                <w:rStyle w:val="Nadruk"/>
                <w:rFonts w:cstheme="minorHAnsi"/>
                <w:u w:val="single"/>
              </w:rPr>
              <w:t xml:space="preserve">], waarin dit percentage is vastgesteld.] </w:t>
            </w:r>
          </w:p>
          <w:p w14:paraId="24D92703" w14:textId="77777777" w:rsidR="000C6A9E" w:rsidRPr="001767FC" w:rsidRDefault="000C6A9E" w:rsidP="000C6A9E">
            <w:pPr>
              <w:spacing w:after="0"/>
              <w:rPr>
                <w:rFonts w:cstheme="minorHAnsi"/>
              </w:rPr>
            </w:pPr>
            <w:r w:rsidRPr="00403AB4">
              <w:rPr>
                <w:rStyle w:val="Nadruk"/>
                <w:rFonts w:cstheme="minorHAnsi"/>
              </w:rPr>
              <w:t>Aan een aansprakelijkgestelde kan geen kwijtschelding worden verleend. Wel kan hij op zijn verzoek worden ontslagen van de betalingsverplichting. In artikel 53, derde lid van de wet is bepaald dat bij ministeriële regeling regels worden gegeven op grond waarvan de ontvanger de aansprakelijkgestelde geheel of gedeeltelijk van zijn betalingsverplichting kan ontslaan als deze niet in staat is anders dan met buitengewoon bezwaar te betalen.</w:t>
            </w:r>
          </w:p>
          <w:p w14:paraId="39BA6918" w14:textId="77777777" w:rsidR="000C6A9E" w:rsidRDefault="000C6A9E" w:rsidP="000C6A9E">
            <w:pPr>
              <w:spacing w:after="0"/>
              <w:rPr>
                <w:rStyle w:val="Nadruk"/>
                <w:rFonts w:cstheme="minorHAnsi"/>
              </w:rPr>
            </w:pPr>
            <w:r w:rsidRPr="00403AB4">
              <w:rPr>
                <w:rStyle w:val="Nadruk"/>
                <w:rFonts w:cstheme="minorHAnsi"/>
              </w:rPr>
              <w:t>De voorwaarden voor het al dan niet verlenen van kwijtschelding, gelden ook voor het ontslag van de betalingsverplichting.</w:t>
            </w:r>
          </w:p>
          <w:p w14:paraId="3F532368" w14:textId="77777777" w:rsidR="000C6A9E" w:rsidRDefault="000C6A9E" w:rsidP="000C6A9E">
            <w:pPr>
              <w:rPr>
                <w:rFonts w:cstheme="minorHAnsi"/>
              </w:rPr>
            </w:pPr>
          </w:p>
        </w:tc>
        <w:tc>
          <w:tcPr>
            <w:tcW w:w="4747" w:type="dxa"/>
          </w:tcPr>
          <w:p w14:paraId="61F66D51" w14:textId="77777777" w:rsidR="000C6A9E" w:rsidRPr="00403AB4" w:rsidRDefault="000C6A9E" w:rsidP="000C6A9E">
            <w:pPr>
              <w:spacing w:after="0"/>
              <w:rPr>
                <w:b/>
                <w:bCs/>
              </w:rPr>
            </w:pPr>
            <w:r w:rsidRPr="00403AB4">
              <w:rPr>
                <w:b/>
                <w:bCs/>
              </w:rPr>
              <w:t>Artikel 26 Kwijtschelding van belastingen</w:t>
            </w:r>
          </w:p>
          <w:p w14:paraId="45CCA639" w14:textId="77777777" w:rsidR="000C6A9E" w:rsidRPr="001767FC" w:rsidRDefault="000C6A9E" w:rsidP="000C6A9E">
            <w:pPr>
              <w:spacing w:after="0"/>
              <w:rPr>
                <w:rFonts w:cstheme="minorHAnsi"/>
              </w:rPr>
            </w:pPr>
            <w:r w:rsidRPr="00403AB4">
              <w:rPr>
                <w:rStyle w:val="Nadruk"/>
                <w:rFonts w:cstheme="minorHAnsi"/>
              </w:rPr>
              <w:t>Artikel 26, eerste lid, van de wet bepaalt dat bij ministeriële regeling regels worden gegeven voor gehele of gedeeltelijke kwijtschelding van rijksbelastingen. De ontvanger verleent gehele of gedeeltelijke kwijtschelding als de belastingschuldige niet in staat is anders dan met buitengewoon bezwaar de belastingaanslag te betalen. In het algemeen zal van buitengewoon bezwaar sprake zijn als de middelen om een belastingaanslag te betalen ontbreken en ook niet binnen afzienbare tijd worden verwacht.</w:t>
            </w:r>
          </w:p>
          <w:p w14:paraId="5711C4D4" w14:textId="77777777" w:rsidR="000C6A9E" w:rsidRPr="00D80BFC" w:rsidRDefault="000C6A9E" w:rsidP="000C6A9E">
            <w:pPr>
              <w:spacing w:after="0"/>
              <w:rPr>
                <w:rStyle w:val="Nadruk"/>
                <w:rFonts w:cstheme="minorHAnsi"/>
                <w:b/>
                <w:bCs/>
              </w:rPr>
            </w:pPr>
            <w:r w:rsidRPr="00403AB4">
              <w:rPr>
                <w:rStyle w:val="Nadruk"/>
                <w:rFonts w:cstheme="minorHAnsi"/>
              </w:rPr>
              <w:t xml:space="preserve">De kwijtscheldingsregels op basis van artikel 26 van de wet zijn vastgelegd in de regeling. </w:t>
            </w:r>
            <w:r w:rsidRPr="00D80BFC">
              <w:rPr>
                <w:rStyle w:val="Nadruk"/>
                <w:rFonts w:cstheme="minorHAnsi"/>
                <w:b/>
                <w:bCs/>
              </w:rPr>
              <w:t>In afwijking van de regeling kan de gemeente een ruimhartiger kwijtscheldingsbeleid voeren. De Regeling kwijtschelding belastingen medeoverheden bevat regels over de wijze waarop de raad in afwijking van de regeling het vermogen en de kosten van bestaan van belastingschuldigen kan vaststellen. [Zie het raadsbesluit van [datum], [nummer].]</w:t>
            </w:r>
          </w:p>
          <w:p w14:paraId="5FB8D6F9" w14:textId="77777777" w:rsidR="000C6A9E" w:rsidRPr="001767FC" w:rsidRDefault="000C6A9E" w:rsidP="000C6A9E">
            <w:pPr>
              <w:spacing w:after="0"/>
              <w:rPr>
                <w:rFonts w:cstheme="minorHAnsi"/>
              </w:rPr>
            </w:pPr>
            <w:r w:rsidRPr="00403AB4">
              <w:rPr>
                <w:rStyle w:val="Nadruk"/>
                <w:rFonts w:cstheme="minorHAnsi"/>
              </w:rPr>
              <w:t>In de artikelen 19a en 22a van de regeling zijn de doelstellingen van de schuldsaneringsregeling natuurlijke personen in de belastingsfeer tot uitdrukking gebracht.</w:t>
            </w:r>
          </w:p>
          <w:p w14:paraId="511C061E" w14:textId="77777777" w:rsidR="000C6A9E" w:rsidRDefault="000C6A9E" w:rsidP="000C6A9E">
            <w:pPr>
              <w:spacing w:after="0"/>
              <w:rPr>
                <w:rStyle w:val="Nadruk"/>
                <w:rFonts w:cstheme="minorHAnsi"/>
              </w:rPr>
            </w:pPr>
          </w:p>
          <w:p w14:paraId="3B2389CF" w14:textId="77777777" w:rsidR="000C6A9E" w:rsidRDefault="000C6A9E" w:rsidP="000C6A9E">
            <w:pPr>
              <w:spacing w:after="0"/>
              <w:rPr>
                <w:rStyle w:val="Nadruk"/>
                <w:rFonts w:cstheme="minorHAnsi"/>
              </w:rPr>
            </w:pPr>
          </w:p>
          <w:p w14:paraId="5D6AAD07" w14:textId="77777777" w:rsidR="000C6A9E" w:rsidRDefault="000C6A9E" w:rsidP="000C6A9E">
            <w:pPr>
              <w:spacing w:after="0"/>
              <w:rPr>
                <w:rStyle w:val="Nadruk"/>
                <w:rFonts w:cstheme="minorHAnsi"/>
              </w:rPr>
            </w:pPr>
          </w:p>
          <w:p w14:paraId="607CD5C9" w14:textId="77777777" w:rsidR="000C6A9E" w:rsidRDefault="000C6A9E" w:rsidP="000C6A9E">
            <w:pPr>
              <w:spacing w:after="0"/>
              <w:rPr>
                <w:rStyle w:val="Nadruk"/>
                <w:rFonts w:cstheme="minorHAnsi"/>
              </w:rPr>
            </w:pPr>
          </w:p>
          <w:p w14:paraId="30225D9B" w14:textId="77777777" w:rsidR="000C6A9E" w:rsidRDefault="000C6A9E" w:rsidP="000C6A9E">
            <w:pPr>
              <w:spacing w:after="0"/>
              <w:rPr>
                <w:rStyle w:val="Nadruk"/>
                <w:rFonts w:cstheme="minorHAnsi"/>
              </w:rPr>
            </w:pPr>
          </w:p>
          <w:p w14:paraId="316DD821" w14:textId="77777777" w:rsidR="000C6A9E" w:rsidRDefault="000C6A9E" w:rsidP="000C6A9E">
            <w:pPr>
              <w:spacing w:after="0"/>
              <w:rPr>
                <w:rStyle w:val="Nadruk"/>
                <w:rFonts w:cstheme="minorHAnsi"/>
              </w:rPr>
            </w:pPr>
          </w:p>
          <w:p w14:paraId="5E093524" w14:textId="77777777" w:rsidR="000C6A9E" w:rsidRDefault="000C6A9E" w:rsidP="000C6A9E">
            <w:pPr>
              <w:spacing w:after="0"/>
              <w:rPr>
                <w:rStyle w:val="Nadruk"/>
                <w:rFonts w:cstheme="minorHAnsi"/>
              </w:rPr>
            </w:pPr>
          </w:p>
          <w:p w14:paraId="2248870A" w14:textId="77777777" w:rsidR="000C6A9E" w:rsidRDefault="000C6A9E" w:rsidP="000C6A9E">
            <w:pPr>
              <w:spacing w:after="0"/>
              <w:rPr>
                <w:rStyle w:val="Nadruk"/>
                <w:rFonts w:cstheme="minorHAnsi"/>
              </w:rPr>
            </w:pPr>
          </w:p>
          <w:p w14:paraId="52C82BFE" w14:textId="77777777" w:rsidR="000C6A9E" w:rsidRDefault="000C6A9E" w:rsidP="000C6A9E">
            <w:pPr>
              <w:spacing w:after="0"/>
              <w:rPr>
                <w:rStyle w:val="Nadruk"/>
                <w:rFonts w:cstheme="minorHAnsi"/>
              </w:rPr>
            </w:pPr>
          </w:p>
          <w:p w14:paraId="53713FC2" w14:textId="2746661D" w:rsidR="000C6A9E" w:rsidRPr="001767FC" w:rsidRDefault="000C6A9E" w:rsidP="000C6A9E">
            <w:pPr>
              <w:spacing w:after="0"/>
              <w:rPr>
                <w:rFonts w:cstheme="minorHAnsi"/>
              </w:rPr>
            </w:pPr>
            <w:r w:rsidRPr="00403AB4">
              <w:rPr>
                <w:rStyle w:val="Nadruk"/>
                <w:rFonts w:cstheme="minorHAnsi"/>
              </w:rPr>
              <w:t>Aan een aansprakelijkgestelde kan geen kwijtschelding worden verleend. Wel kan hij op zijn verzoek worden ontslagen van de betalingsverplichting. In artikel 53, derde lid van de wet is bepaald dat bij ministeriële regeling regels worden gegeven op grond waarvan de ontvanger de aansprakelijkgestelde geheel of gedeeltelijk van zijn betalingsverplichting kan ontslaan als deze niet in staat is anders dan met buitengewoon bezwaar te betalen.</w:t>
            </w:r>
          </w:p>
          <w:p w14:paraId="3AA7C700" w14:textId="77777777" w:rsidR="000C6A9E" w:rsidRPr="001767FC" w:rsidRDefault="000C6A9E" w:rsidP="000C6A9E">
            <w:pPr>
              <w:spacing w:after="0"/>
              <w:rPr>
                <w:rFonts w:cstheme="minorHAnsi"/>
              </w:rPr>
            </w:pPr>
            <w:r w:rsidRPr="00403AB4">
              <w:rPr>
                <w:rStyle w:val="Nadruk"/>
                <w:rFonts w:cstheme="minorHAnsi"/>
              </w:rPr>
              <w:t>De voorwaarden voor het al dan niet verlenen van kwijtschelding, gelden ook voor het ontslag van de betalingsverplichting.</w:t>
            </w:r>
          </w:p>
          <w:p w14:paraId="73823441" w14:textId="77777777" w:rsidR="000C6A9E" w:rsidRDefault="000C6A9E" w:rsidP="000C6A9E">
            <w:pPr>
              <w:rPr>
                <w:bCs/>
              </w:rPr>
            </w:pPr>
          </w:p>
        </w:tc>
      </w:tr>
      <w:tr w:rsidR="000C6A9E" w14:paraId="39F70C0E" w14:textId="77777777" w:rsidTr="002348FC">
        <w:tc>
          <w:tcPr>
            <w:tcW w:w="4746" w:type="dxa"/>
          </w:tcPr>
          <w:p w14:paraId="3B3C3E50" w14:textId="77777777" w:rsidR="000C6A9E" w:rsidRPr="007440F6" w:rsidRDefault="000C6A9E" w:rsidP="000C6A9E">
            <w:pPr>
              <w:rPr>
                <w:b/>
              </w:rPr>
            </w:pPr>
            <w:r w:rsidRPr="007440F6">
              <w:rPr>
                <w:b/>
              </w:rPr>
              <w:lastRenderedPageBreak/>
              <w:t>73.5.1 Voorwaarden voor MSNP</w:t>
            </w:r>
          </w:p>
          <w:p w14:paraId="112F4EAB" w14:textId="77777777" w:rsidR="000C6A9E" w:rsidRPr="00963FFE" w:rsidRDefault="000C6A9E" w:rsidP="000C6A9E">
            <w:pPr>
              <w:rPr>
                <w:i/>
              </w:rPr>
            </w:pPr>
            <w:r w:rsidRPr="00963FFE">
              <w:rPr>
                <w:i/>
              </w:rPr>
              <w:t>Stabilisatiefase</w:t>
            </w:r>
          </w:p>
          <w:p w14:paraId="5EE9B429" w14:textId="77777777" w:rsidR="000C6A9E" w:rsidRDefault="000C6A9E" w:rsidP="000C6A9E">
            <w:r w:rsidRPr="00911C18">
              <w:t xml:space="preserve">Een schuldhulpverleningstraject vangt in het algemeen aan met een stabilisatie-overeenkomst tussen de schuldenaar en de schuldhulpverlener als hierna bedoeld in onderdeel b. Voor de toepassing van dit artikel wordt met een stabilisatie-overeenkomst gelijkgesteld een schriftelijke mededeling van de schuldhulpverlener waarin staat dat hij activiteiten ontplooit die erop gericht zijn de financiële situatie van de schuldenaar op korte termijn te stabiliseren. </w:t>
            </w:r>
          </w:p>
          <w:p w14:paraId="46B17205" w14:textId="77777777" w:rsidR="000C6A9E" w:rsidRDefault="000C6A9E" w:rsidP="000C6A9E">
            <w:r w:rsidRPr="00911C18">
              <w:t xml:space="preserve">Vanaf de ontvangst van een afschrift van de stabilisatie-overeenkomst neemt de ontvanger gedurende </w:t>
            </w:r>
            <w:r w:rsidRPr="00F06DCA">
              <w:t>een periode van maximaal 240 dagen</w:t>
            </w:r>
            <w:r w:rsidRPr="00911C18">
              <w:t xml:space="preserve"> geen dwanginvorderingsmaatregelen. Lopende invorderingsmaatregelen schort de ontvanger op, zo nodig in overleg met de schuldhulpverlener. Daarnaast vindt verrekening alleen plaats met belastingteruggaven die (materieel) zijn ontstaan tot en met de dag waarop het afschrift van de stabilisatie-overeenkomst is ontvangen. Het in deze alinea beschreven terughoudende beleid geldt niet in situaties waarin op voorhand duidelijk is dat de belastingschuldige niet in aanmerking komt voor uitstel van betaling op basis van het hierna in dit artikel beschreven beleid. De ontvanger informeert de schu</w:t>
            </w:r>
            <w:r>
              <w:t>l</w:t>
            </w:r>
            <w:r w:rsidRPr="00911C18">
              <w:t>dhulpverlener hierover.</w:t>
            </w:r>
          </w:p>
          <w:p w14:paraId="1B2C11D3" w14:textId="77777777" w:rsidR="000C6A9E" w:rsidRDefault="000C6A9E" w:rsidP="000C6A9E">
            <w:pPr>
              <w:rPr>
                <w:rStyle w:val="Nadruk"/>
                <w:rFonts w:cstheme="minorHAnsi"/>
              </w:rPr>
            </w:pPr>
          </w:p>
          <w:p w14:paraId="5B32BDD2" w14:textId="77777777" w:rsidR="000C6A9E" w:rsidRPr="00963FFE" w:rsidRDefault="000C6A9E" w:rsidP="000C6A9E">
            <w:pPr>
              <w:rPr>
                <w:i/>
              </w:rPr>
            </w:pPr>
            <w:r w:rsidRPr="00963FFE">
              <w:rPr>
                <w:i/>
              </w:rPr>
              <w:t>Schuldregelingsovereenkomst</w:t>
            </w:r>
          </w:p>
          <w:p w14:paraId="44A8FC2D" w14:textId="77777777" w:rsidR="000C6A9E" w:rsidRDefault="000C6A9E" w:rsidP="000C6A9E">
            <w:r w:rsidRPr="00F06DCA">
              <w:t>Nadat de schuldhulpverlener de ontvanger schriftelijk heeft bericht dat de overeenkomst tot schuldregeling tot stand is gekomen, verleent de ontvanger uitstel van betaling voor een periode van</w:t>
            </w:r>
            <w:r>
              <w:t>, in beginsel,</w:t>
            </w:r>
            <w:r w:rsidRPr="00F06DCA">
              <w:t xml:space="preserve"> maximaal </w:t>
            </w:r>
            <w:r w:rsidRPr="00E73753">
              <w:rPr>
                <w:i/>
                <w:iCs/>
              </w:rPr>
              <w:t>36</w:t>
            </w:r>
            <w:r w:rsidRPr="00F06DCA">
              <w:t xml:space="preserve"> maanden als:</w:t>
            </w:r>
          </w:p>
          <w:p w14:paraId="21DF30DA" w14:textId="77777777" w:rsidR="000C6A9E" w:rsidRDefault="000C6A9E" w:rsidP="000C6A9E">
            <w:r>
              <w:t>a. de schuldregeling betrekking heeft op natuurlijke personen;</w:t>
            </w:r>
          </w:p>
          <w:p w14:paraId="2042479A" w14:textId="77777777" w:rsidR="00F02E4B" w:rsidRDefault="000C6A9E" w:rsidP="00F02E4B">
            <w:r>
              <w:t>b. de schuldhulpverlener lid is van de NVVK of de schuldregeling wordt uitgevoerd door een gemeente in eigen beheer (zie ook artikel 73.5a);</w:t>
            </w:r>
            <w:r w:rsidR="00F02E4B">
              <w:t xml:space="preserve"> </w:t>
            </w:r>
          </w:p>
          <w:p w14:paraId="66EA12D5" w14:textId="77777777" w:rsidR="00F02E4B" w:rsidRDefault="00F02E4B" w:rsidP="00F02E4B">
            <w:r>
              <w:t xml:space="preserve">c. een schuldregelingsovereenkomst in de zin van de Gedragscode Schuldhulpverlening van de NVVK tot stand is gekomen of een overeenkomst tot stand is gekomen die dezelfde strekking heeft als die gedragscode en waarbij voor de berekening van de aflossingscapaciteit wordt uitgegaan van de door Recofa gepubliceerde normen; </w:t>
            </w:r>
          </w:p>
          <w:p w14:paraId="41422F9A" w14:textId="05B409D6" w:rsidR="00F02E4B" w:rsidRDefault="00F02E4B" w:rsidP="00F02E4B">
            <w:r>
              <w:t>d. een schuldregelingsovereenkomst tot stand is gekomen conform de Module Schuldregeling in het kader van schuldhulpverlening voor ondernemers van de NVVK of een daarmee gelijk te stellen overeenkomst en waarbij voor de</w:t>
            </w:r>
          </w:p>
          <w:p w14:paraId="4171A090" w14:textId="232900C9" w:rsidR="000C6A9E" w:rsidRPr="007440F6" w:rsidRDefault="000C6A9E" w:rsidP="000C6A9E">
            <w:pPr>
              <w:rPr>
                <w:b/>
              </w:rPr>
            </w:pPr>
          </w:p>
        </w:tc>
        <w:tc>
          <w:tcPr>
            <w:tcW w:w="4747" w:type="dxa"/>
          </w:tcPr>
          <w:p w14:paraId="33F0FE02" w14:textId="77777777" w:rsidR="000C6A9E" w:rsidRPr="007440F6" w:rsidRDefault="000C6A9E" w:rsidP="000C6A9E">
            <w:pPr>
              <w:rPr>
                <w:b/>
              </w:rPr>
            </w:pPr>
            <w:r w:rsidRPr="007440F6">
              <w:rPr>
                <w:b/>
              </w:rPr>
              <w:t>73.5.1 Voorwaarden voor MSNP</w:t>
            </w:r>
          </w:p>
          <w:p w14:paraId="3F4D5138" w14:textId="77777777" w:rsidR="000C6A9E" w:rsidRPr="00963FFE" w:rsidRDefault="000C6A9E" w:rsidP="000C6A9E">
            <w:pPr>
              <w:rPr>
                <w:i/>
              </w:rPr>
            </w:pPr>
            <w:r w:rsidRPr="00963FFE">
              <w:rPr>
                <w:i/>
              </w:rPr>
              <w:t>Stabilisatiefase</w:t>
            </w:r>
          </w:p>
          <w:p w14:paraId="1431978E" w14:textId="77777777" w:rsidR="000C6A9E" w:rsidRDefault="000C6A9E" w:rsidP="000C6A9E">
            <w:r w:rsidRPr="00911C18">
              <w:t xml:space="preserve">Een schuldhulpverleningstraject vangt in het algemeen aan met een stabilisatie-overeenkomst tussen de schuldenaar en de schuldhulpverlener als hierna bedoeld in onderdeel b. Voor de toepassing van dit artikel wordt met een stabilisatie-overeenkomst gelijkgesteld een schriftelijke mededeling van de schuldhulpverlener waarin staat dat hij activiteiten ontplooit die erop gericht zijn de financiële situatie van de schuldenaar op korte termijn te stabiliseren. </w:t>
            </w:r>
          </w:p>
          <w:p w14:paraId="4D8FDDA1" w14:textId="77777777" w:rsidR="000C6A9E" w:rsidRDefault="000C6A9E" w:rsidP="000C6A9E">
            <w:r w:rsidRPr="00911C18">
              <w:t xml:space="preserve">Vanaf de ontvangst van een afschrift van de stabilisatie-overeenkomst neemt de ontvanger gedurende </w:t>
            </w:r>
            <w:r w:rsidRPr="00F06DCA">
              <w:t>een periode van maximaal 240 dagen</w:t>
            </w:r>
            <w:r w:rsidRPr="00911C18">
              <w:t xml:space="preserve"> geen dwanginvorderingsmaatregelen. Lopende invorderingsmaatregelen schort de ontvanger op, zo nodig in overleg met de schuldhulpverlener. Daarnaast vindt verrekening alleen plaats met belastingteruggaven die (materieel) zijn ontstaan tot en met de dag waarop het afschrift van de stabilisatie-overeenkomst is ontvangen. Het in deze alinea beschreven terughoudende beleid geldt niet in situaties waarin op voorhand duidelijk is dat de belastingschuldige niet in aanmerking komt voor uitstel van betaling op basis van het hierna in dit artikel beschreven beleid. De ontvanger informeert de schu</w:t>
            </w:r>
            <w:r>
              <w:t>l</w:t>
            </w:r>
            <w:r w:rsidRPr="00911C18">
              <w:t>dhulpverlener hierover.</w:t>
            </w:r>
          </w:p>
          <w:p w14:paraId="344DF779" w14:textId="77777777" w:rsidR="000C6A9E" w:rsidRDefault="000C6A9E" w:rsidP="000C6A9E">
            <w:pPr>
              <w:rPr>
                <w:i/>
              </w:rPr>
            </w:pPr>
          </w:p>
          <w:p w14:paraId="77F0B09C" w14:textId="7D68B0A7" w:rsidR="000C6A9E" w:rsidRPr="00963FFE" w:rsidRDefault="000C6A9E" w:rsidP="000C6A9E">
            <w:pPr>
              <w:rPr>
                <w:i/>
              </w:rPr>
            </w:pPr>
            <w:r w:rsidRPr="00963FFE">
              <w:rPr>
                <w:i/>
              </w:rPr>
              <w:t>Schuldregelingsovereenkomst</w:t>
            </w:r>
          </w:p>
          <w:p w14:paraId="67B45BD0" w14:textId="77777777" w:rsidR="000C6A9E" w:rsidRDefault="000C6A9E" w:rsidP="000C6A9E">
            <w:r w:rsidRPr="00F06DCA">
              <w:t>Nadat de schuldhulpverlener de ontvanger schriftelijk heeft bericht dat de overeenkomst tot schuldregeling tot stand is gekomen, verleent de ontvanger uitstel van betaling voor een periode van</w:t>
            </w:r>
            <w:r>
              <w:t>, in beginsel,</w:t>
            </w:r>
            <w:r w:rsidRPr="00F06DCA">
              <w:t xml:space="preserve"> maximaal </w:t>
            </w:r>
            <w:r w:rsidRPr="00E73753">
              <w:rPr>
                <w:b/>
                <w:bCs/>
              </w:rPr>
              <w:t>18</w:t>
            </w:r>
            <w:r w:rsidRPr="00F06DCA">
              <w:t xml:space="preserve"> maanden als:</w:t>
            </w:r>
          </w:p>
          <w:p w14:paraId="0D33203E" w14:textId="77777777" w:rsidR="000C6A9E" w:rsidRDefault="000C6A9E" w:rsidP="000C6A9E">
            <w:r>
              <w:t>a. de schuldregeling betrekking heeft op natuurlijke personen;</w:t>
            </w:r>
          </w:p>
          <w:p w14:paraId="08074692" w14:textId="77777777" w:rsidR="000C6A9E" w:rsidRDefault="000C6A9E" w:rsidP="000C6A9E">
            <w:r>
              <w:t>b. de schuldhulpverlener lid is van de NVVK of de schuldregeling wordt uitgevoerd door een gemeente in eigen beheer (zie ook artikel 73.5a);</w:t>
            </w:r>
          </w:p>
          <w:p w14:paraId="54D157E1" w14:textId="77777777" w:rsidR="00F02E4B" w:rsidRDefault="00F02E4B" w:rsidP="00F02E4B">
            <w:r>
              <w:t>c. een schuldregelingsovereenkomst in de zin van de Gedragscode Schuldhulpverlening van de NVVK tot stand is gekomen of een overeenkomst tot stand is gekomen die dezelfde strekking heeft als die gedragscode en waarbij voor de berekening van de aflossingscapaciteit wordt uitgegaan van de door Recofa gepubliceerde normen;</w:t>
            </w:r>
          </w:p>
          <w:p w14:paraId="3F29999E" w14:textId="5374165F" w:rsidR="000C6A9E" w:rsidRPr="007440F6" w:rsidRDefault="00F02E4B" w:rsidP="000C6A9E">
            <w:pPr>
              <w:rPr>
                <w:b/>
              </w:rPr>
            </w:pPr>
            <w:r>
              <w:t>d. een schuldregelingsovereenkomst tot stand is gekomen conform de Module Schuldregeling in het kader van schuldhulpverlening voor ondernemers van de NVVK of een daarmee gelijk te stellen overeenkomst en waarbij voor de</w:t>
            </w:r>
          </w:p>
        </w:tc>
      </w:tr>
      <w:tr w:rsidR="000C6A9E" w14:paraId="621FD5E8" w14:textId="77777777" w:rsidTr="002348FC">
        <w:tc>
          <w:tcPr>
            <w:tcW w:w="4746" w:type="dxa"/>
          </w:tcPr>
          <w:p w14:paraId="6C9FDF00" w14:textId="0423C6DE" w:rsidR="000C6A9E" w:rsidRDefault="000C6A9E" w:rsidP="000C6A9E">
            <w:r>
              <w:lastRenderedPageBreak/>
              <w:t>berekening van de aflossingscapaciteit wordt uitgegaan van de door Recofa gepubliceerde normen, voor zover de schuldregeling ziet op een natuurlijk persoon, zijnde ondernemer;</w:t>
            </w:r>
          </w:p>
          <w:p w14:paraId="4C3AEB4D" w14:textId="77777777" w:rsidR="000C6A9E" w:rsidRDefault="000C6A9E" w:rsidP="000C6A9E">
            <w:r>
              <w:t>e. het aannemelijk is dat het bedrijf of beroep tijdens en na het volledig hebben doorlopen van de schuldregeling met een levensvatbare bedrijfsuitoefening kan worden voortgezet, voor zover de schuldregeling ziet op een natuurlijk persoon, zijnde ondernemer;</w:t>
            </w:r>
          </w:p>
          <w:p w14:paraId="0B61BCD2" w14:textId="77777777" w:rsidR="000C6A9E" w:rsidRDefault="000C6A9E" w:rsidP="000C6A9E">
            <w:r>
              <w:t>f. redelijkerwijs mag worden aangenomen dat de belastingschuldige - afgezien van de formaliteiten die daarvoor verricht moeten worden - in aanmerking zou komen voor een schuldregeling als bedoeld in artikel 287a FW;</w:t>
            </w:r>
          </w:p>
          <w:p w14:paraId="3F958195" w14:textId="77777777" w:rsidR="000C6A9E" w:rsidRPr="00911C18" w:rsidRDefault="000C6A9E" w:rsidP="000C6A9E">
            <w:r>
              <w:t>g. aan het eind van de looptijd van de schuldregelingsovereenkomst een bedrag zal zijn betaald van ten minste dezelfde omvang als kan worden verkregen indien er sprake zou zijn van een wettelijke schuldsanering.</w:t>
            </w:r>
          </w:p>
          <w:p w14:paraId="72B50ED6" w14:textId="77777777" w:rsidR="00F02E4B" w:rsidRDefault="00F02E4B" w:rsidP="00F02E4B">
            <w:r w:rsidRPr="00D143AE">
              <w:t>De voorwaarden onder d en e zijn niet van toepassing op een ex-ondernemer indien aannemelijk is dat hij in de toekomst geen bedrijf zal uitoefenen of niet zelfstandig een beroep zal uitoefenen.</w:t>
            </w:r>
          </w:p>
          <w:p w14:paraId="642FD4C3" w14:textId="77777777" w:rsidR="00F02E4B" w:rsidRDefault="00F02E4B" w:rsidP="00F02E4B">
            <w:r w:rsidRPr="00D143AE">
              <w:t>De ontvanger kan ervoor kiezen om aanslagen, waarvoor hij redelijkerwijs derden aansprakelijk kan stellen, niet te betrekken in de schuldregeling, voor zover deze ziet op een natuurlijk persoon, zijnde ondernemer. Artikel 26.3.2 is hierbij van overeenkomstige toepassing.</w:t>
            </w:r>
            <w:r w:rsidRPr="00B811D2">
              <w:t xml:space="preserve"> </w:t>
            </w:r>
          </w:p>
          <w:p w14:paraId="7EB7D9D1" w14:textId="77777777" w:rsidR="00F02E4B" w:rsidRDefault="00F02E4B" w:rsidP="00F02E4B">
            <w:r w:rsidRPr="00B811D2">
              <w:t xml:space="preserve">De ontvanger kan in bijzondere omstandigheden een langere termijn voor uitstel van betaling toekennen dan </w:t>
            </w:r>
            <w:r w:rsidRPr="00E73753">
              <w:rPr>
                <w:i/>
                <w:iCs/>
              </w:rPr>
              <w:t>36</w:t>
            </w:r>
            <w:r w:rsidRPr="00B811D2">
              <w:t xml:space="preserve"> maanden. Daarbij gelden als voorwaarden dat de schuldhulpverlener daar schriftelijk om verzoekt en aannemelijk maakt dat sprake is van bijzondere omstandigheden die een langere periode rechtvaardigen en dat de belangen van de belastingschuldige onevenredig worden geschaad als wordt vastgehouden aan de termijn van </w:t>
            </w:r>
            <w:r w:rsidRPr="00E73753">
              <w:rPr>
                <w:i/>
                <w:iCs/>
              </w:rPr>
              <w:t>36</w:t>
            </w:r>
            <w:r w:rsidRPr="00B811D2">
              <w:t xml:space="preserve"> maanden.</w:t>
            </w:r>
            <w:r w:rsidRPr="006F0D00">
              <w:t xml:space="preserve"> </w:t>
            </w:r>
          </w:p>
          <w:p w14:paraId="74E865E6" w14:textId="77777777" w:rsidR="000C6A9E" w:rsidRDefault="00F02E4B" w:rsidP="00F02E4B">
            <w:r w:rsidRPr="006F0D00">
              <w:t xml:space="preserve">Het uitstel vangt aan met ingang van de datum van de </w:t>
            </w:r>
            <w:r>
              <w:t>s</w:t>
            </w:r>
            <w:r w:rsidRPr="006F0D00">
              <w:t xml:space="preserve">chuldregelingsovereenkomst. Na totstandkoming van een schuldregelingsovereenkomst onderzoekt de schuldhulpverlener of een </w:t>
            </w:r>
            <w:r>
              <w:t>s</w:t>
            </w:r>
            <w:r w:rsidRPr="006F0D00">
              <w:t>chuldregeling met de schuldeisers tot stand kan worden gebracht. De schuldhulpverlener streeft ernaar dit onderzoek af te ronden binnen 120 dagen, maar uiterlijk binnen 240 dagen, gerekend vanaf de datum van de schuldregelingsovereenkomst. Wanneer de schuldregeling met</w:t>
            </w:r>
          </w:p>
          <w:p w14:paraId="687F0958" w14:textId="5271DAEC" w:rsidR="00F02E4B" w:rsidRPr="007440F6" w:rsidRDefault="00F02E4B" w:rsidP="00F02E4B">
            <w:pPr>
              <w:rPr>
                <w:b/>
              </w:rPr>
            </w:pPr>
          </w:p>
        </w:tc>
        <w:tc>
          <w:tcPr>
            <w:tcW w:w="4747" w:type="dxa"/>
          </w:tcPr>
          <w:p w14:paraId="195FDC43" w14:textId="084B7FD7" w:rsidR="000C6A9E" w:rsidRDefault="000C6A9E" w:rsidP="000C6A9E">
            <w:r>
              <w:t>berekening van de aflossingscapaciteit wordt uitgegaan van de door Recofa gepubliceerde normen, voor zover de schuldregeling ziet op een natuurlijk persoon, zijnde ondernemer;</w:t>
            </w:r>
          </w:p>
          <w:p w14:paraId="0D91BB47" w14:textId="77777777" w:rsidR="000C6A9E" w:rsidRDefault="000C6A9E" w:rsidP="000C6A9E">
            <w:r>
              <w:t>e. het aannemelijk is dat het bedrijf of beroep tijdens en na het volledig hebben doorlopen van de schuldregeling met een levensvatbare bedrijfsuitoefening kan worden voortgezet, voor zover de schuldregeling ziet op een natuurlijk persoon, zijnde ondernemer;</w:t>
            </w:r>
          </w:p>
          <w:p w14:paraId="2ACA4A77" w14:textId="77777777" w:rsidR="000C6A9E" w:rsidRDefault="000C6A9E" w:rsidP="000C6A9E">
            <w:r>
              <w:t>f. redelijkerwijs mag worden aangenomen dat de belastingschuldige - afgezien van de formaliteiten die daarvoor verricht moeten worden - in aanmerking zou komen voor een schuldregeling als bedoeld in artikel 287a FW;</w:t>
            </w:r>
          </w:p>
          <w:p w14:paraId="2D978F7F" w14:textId="77777777" w:rsidR="000C6A9E" w:rsidRPr="00911C18" w:rsidRDefault="000C6A9E" w:rsidP="000C6A9E">
            <w:r>
              <w:t>g. aan het eind van de looptijd van de schuldregelingsovereenkomst een bedrag zal zijn betaald van ten minste dezelfde omvang als kan worden verkregen indien er sprake zou zijn van een wettelijke schuldsanering.</w:t>
            </w:r>
          </w:p>
          <w:p w14:paraId="32C3C1AA" w14:textId="77777777" w:rsidR="00F02E4B" w:rsidRDefault="00F02E4B" w:rsidP="00F02E4B">
            <w:r w:rsidRPr="00D143AE">
              <w:t>De voorwaarden onder d en e zijn niet van toepassing op een ex-ondernemer indien aannemelijk is dat hij in de toekomst geen bedrijf zal uitoefenen of niet zelfstandig een beroep zal uitoefenen.</w:t>
            </w:r>
          </w:p>
          <w:p w14:paraId="28A264D4" w14:textId="77777777" w:rsidR="00F02E4B" w:rsidRDefault="00F02E4B" w:rsidP="00F02E4B">
            <w:r w:rsidRPr="00D143AE">
              <w:t>De ontvanger kan ervoor kiezen om aanslagen, waarvoor hij redelijkerwijs derden aansprakelijk kan stellen, niet te betrekken in de schuldregeling, voor zover deze ziet op een natuurlijk persoon, zijnde ondernemer. Artikel 26.3.2 is hierbij van overeenkomstige toepassing.</w:t>
            </w:r>
          </w:p>
          <w:p w14:paraId="408BA972" w14:textId="77777777" w:rsidR="00F02E4B" w:rsidRPr="007440F6" w:rsidRDefault="00F02E4B" w:rsidP="00F02E4B">
            <w:pPr>
              <w:rPr>
                <w:b/>
              </w:rPr>
            </w:pPr>
            <w:r w:rsidRPr="00B811D2">
              <w:t xml:space="preserve">De ontvanger kan in bijzondere omstandigheden een langere termijn voor uitstel van betaling toekennen dan </w:t>
            </w:r>
            <w:r w:rsidRPr="00E73753">
              <w:rPr>
                <w:b/>
                <w:bCs/>
              </w:rPr>
              <w:t>18</w:t>
            </w:r>
            <w:r w:rsidRPr="00B811D2">
              <w:t xml:space="preserve"> maanden. Daarbij gelden als voorwaarden dat de schuldhulpverlener daar schriftelijk om verzoekt en aannemelijk maakt dat sprake is van bijzondere omstandigheden die een langere periode rechtvaardigen en dat de belangen van de belastingschuldige onevenredig worden geschaad als wordt vastgehouden aan de termijn van </w:t>
            </w:r>
            <w:r w:rsidRPr="00E73753">
              <w:rPr>
                <w:b/>
                <w:bCs/>
              </w:rPr>
              <w:t>18</w:t>
            </w:r>
            <w:r w:rsidRPr="00B811D2">
              <w:t xml:space="preserve"> maanden.</w:t>
            </w:r>
          </w:p>
          <w:p w14:paraId="6C966EA6" w14:textId="555652E2" w:rsidR="000C6A9E" w:rsidRPr="007440F6" w:rsidRDefault="00F02E4B" w:rsidP="000C6A9E">
            <w:pPr>
              <w:rPr>
                <w:b/>
              </w:rPr>
            </w:pPr>
            <w:r w:rsidRPr="006F0D00">
              <w:t xml:space="preserve">Het uitstel vangt aan met ingang van de datum van de </w:t>
            </w:r>
            <w:r>
              <w:t>s</w:t>
            </w:r>
            <w:r w:rsidRPr="006F0D00">
              <w:t xml:space="preserve">chuldregelingsovereenkomst. Na totstandkoming van een schuldregelingsovereenkomst onderzoekt de schuldhulpverlener of een </w:t>
            </w:r>
            <w:r>
              <w:t>s</w:t>
            </w:r>
            <w:r w:rsidRPr="006F0D00">
              <w:t>chuldregeling met de schuldeisers tot stand kan worden gebracht. De schuldhulpverlener streeft ernaar dit onderzoek af te ronden binnen 120 dagen, maar uiterlijk binnen 240 dagen, gerekend vanaf de datum van de schuldregelingsovereenkomst. Wanneer de schuldregeling met</w:t>
            </w:r>
          </w:p>
        </w:tc>
      </w:tr>
      <w:tr w:rsidR="000C4950" w14:paraId="5D79F745" w14:textId="77777777" w:rsidTr="000C4950">
        <w:trPr>
          <w:trHeight w:val="5685"/>
        </w:trPr>
        <w:tc>
          <w:tcPr>
            <w:tcW w:w="4746" w:type="dxa"/>
          </w:tcPr>
          <w:p w14:paraId="0D69B6FF" w14:textId="1664F22C" w:rsidR="000C4950" w:rsidRPr="00911C18" w:rsidRDefault="000C4950" w:rsidP="000C6A9E">
            <w:r w:rsidRPr="006F0D00">
              <w:lastRenderedPageBreak/>
              <w:t>de schuldeisers tot stand is gebracht, zet de schuldhulpverlener de schuldregelingsovereenkomst voort; hij stelt de schuldeisers daarvan schriftelijk op de hoogte. Slaagt de schuldhulpverlener niet tijdig in het tot stand brengen van de schuldregeling, dan beëindigt hij de schuldregelingsovereenkomst.</w:t>
            </w:r>
          </w:p>
          <w:p w14:paraId="2B9E0BC9" w14:textId="77777777" w:rsidR="000C4950" w:rsidRPr="00911C18" w:rsidRDefault="000C4950" w:rsidP="000C6A9E">
            <w:r w:rsidRPr="00911C18">
              <w:t>Deze regeling is ook van toepassing op belastingaanslagen waarvan in beginsel geen kwijtschelding wordt verleend (zoals belastingaanslagen motorrijtuigenbelasting), omdat de wettelijke schuldsaneringsregeling ook van toepassing is op die belastingaanslagen.</w:t>
            </w:r>
          </w:p>
          <w:p w14:paraId="6936EBDE" w14:textId="77777777" w:rsidR="000C4950" w:rsidRPr="00911C18" w:rsidRDefault="000C4950" w:rsidP="000C6A9E">
            <w:r w:rsidRPr="00911C18">
              <w:t>De uitstelregeling geldt voor belastingaanslagen die betrekking hebben op de (materieel) verschuldigde belasting tot en met de dag van de dagtekening van de schuldregelingsovereenkomst en is definitief in die zin dat daarop van de zijde van de ontvanger in beginsel niet meer kan worden teruggekomen. In voorkomend geval wordt het bedrag van de verschuldigde belastingen door middel van schatting bepaald. In het geval de in de vorige volzin bedoelde schatting naar achteraf blijkt substantieel te laag mocht zijn, kan de ontvanger daarop alleen terugkomen indien ter</w:t>
            </w:r>
            <w:r>
              <w:t xml:space="preserve"> </w:t>
            </w:r>
            <w:r w:rsidRPr="00911C18">
              <w:t>zake van die belasting ten tijde van de schatting ten onrechte geen aangifte was gedaan dan</w:t>
            </w:r>
            <w:r>
              <w:t xml:space="preserve"> </w:t>
            </w:r>
            <w:r w:rsidRPr="00911C18">
              <w:t>wel indien de belastingschuldige of de schuldhulpverlener wisten of behoorden te weten dat de schatting te laag was.</w:t>
            </w:r>
          </w:p>
          <w:p w14:paraId="0D220AFB" w14:textId="7902CEBC" w:rsidR="000C4950" w:rsidRPr="007440F6" w:rsidRDefault="000C4950" w:rsidP="000C6A9E">
            <w:pPr>
              <w:spacing w:line="260" w:lineRule="atLeast"/>
              <w:rPr>
                <w:b/>
              </w:rPr>
            </w:pPr>
          </w:p>
        </w:tc>
        <w:tc>
          <w:tcPr>
            <w:tcW w:w="4747" w:type="dxa"/>
          </w:tcPr>
          <w:p w14:paraId="4A48EF30" w14:textId="3765BED2" w:rsidR="000C4950" w:rsidRPr="00911C18" w:rsidRDefault="000C4950" w:rsidP="000C6A9E">
            <w:r w:rsidRPr="006F0D00">
              <w:t>de schuldeisers tot stand is gebracht, zet de schuldhulpverlener de schuldregelingsovereenkomst voort; hij stelt de schuldeisers daarvan schriftelijk op de hoogte. Slaagt de schuldhulpverlener niet tijdig in het tot stand brengen van de schuldregeling, dan beëindigt hij de schuldregelingsovereenkomst.</w:t>
            </w:r>
          </w:p>
          <w:p w14:paraId="6B0CD402" w14:textId="77777777" w:rsidR="000C4950" w:rsidRPr="00911C18" w:rsidRDefault="000C4950" w:rsidP="000C6A9E">
            <w:r w:rsidRPr="00911C18">
              <w:t>Deze regeling is ook van toepassing op belastingaanslagen waarvan in beginsel geen kwijtschelding wordt verleend (zoals belastingaanslagen motorrijtuigenbelasting), omdat de wettelijke schuldsaneringsregeling ook van toepassing is op die belastingaanslagen.</w:t>
            </w:r>
          </w:p>
          <w:p w14:paraId="662E4D2E" w14:textId="77777777" w:rsidR="000C4950" w:rsidRPr="00911C18" w:rsidRDefault="000C4950" w:rsidP="000C6A9E">
            <w:r w:rsidRPr="00911C18">
              <w:t>De uitstelregeling geldt voor belastingaanslagen die betrekking hebben op de (materieel) verschuldigde belasting tot en met de dag van de dagtekening van de schuldregelingsovereenkomst en is definitief in die zin dat daarop van de zijde van de ontvanger in beginsel niet meer kan worden teruggekomen. In voorkomend geval wordt het bedrag van de verschuldigde belastingen door middel van schatting bepaald. In het geval de in de vorige volzin bedoelde schatting naar achteraf blijkt substantieel te laag mocht zijn, kan de ontvanger daarop alleen terugkomen indien ter</w:t>
            </w:r>
            <w:r>
              <w:t xml:space="preserve"> </w:t>
            </w:r>
            <w:r w:rsidRPr="00911C18">
              <w:t>zake van die belasting ten tijde van de schatting ten onrechte geen aangifte was gedaan dan</w:t>
            </w:r>
            <w:r>
              <w:t xml:space="preserve"> </w:t>
            </w:r>
            <w:r w:rsidRPr="00911C18">
              <w:t>wel indien de belastingschuldige of de schuldhulpverlener wisten of behoorden te weten dat de schatting te laag was.</w:t>
            </w:r>
          </w:p>
          <w:p w14:paraId="6E0C0072" w14:textId="7BC20B90" w:rsidR="000C4950" w:rsidRPr="007440F6" w:rsidRDefault="000C4950" w:rsidP="000C6A9E">
            <w:pPr>
              <w:spacing w:line="260" w:lineRule="atLeast"/>
              <w:rPr>
                <w:b/>
              </w:rPr>
            </w:pPr>
          </w:p>
        </w:tc>
      </w:tr>
      <w:tr w:rsidR="000C4950" w14:paraId="0B90B219" w14:textId="77777777" w:rsidTr="008508EA">
        <w:trPr>
          <w:trHeight w:val="5684"/>
        </w:trPr>
        <w:tc>
          <w:tcPr>
            <w:tcW w:w="4746" w:type="dxa"/>
          </w:tcPr>
          <w:p w14:paraId="35621F86" w14:textId="77777777" w:rsidR="000C4950" w:rsidRPr="007440F6" w:rsidRDefault="000C4950" w:rsidP="000C4950">
            <w:pPr>
              <w:rPr>
                <w:b/>
              </w:rPr>
            </w:pPr>
            <w:r w:rsidRPr="007440F6">
              <w:rPr>
                <w:b/>
              </w:rPr>
              <w:t>Artikel 73.5a Insolventieprocedure - minnelijke schuldsanering door anderen dan leden van de NVVK of gemeenten</w:t>
            </w:r>
          </w:p>
          <w:p w14:paraId="10602B01" w14:textId="77777777" w:rsidR="000C4950" w:rsidRPr="007440F6" w:rsidRDefault="000C4950" w:rsidP="000C4950"/>
          <w:p w14:paraId="545E783D" w14:textId="77777777" w:rsidR="000C4950" w:rsidRPr="007440F6" w:rsidRDefault="000C4950" w:rsidP="000C4950">
            <w:pPr>
              <w:rPr>
                <w:b/>
              </w:rPr>
            </w:pPr>
            <w:r w:rsidRPr="007440F6">
              <w:rPr>
                <w:b/>
              </w:rPr>
              <w:t>Algemeen</w:t>
            </w:r>
          </w:p>
          <w:p w14:paraId="4737A2D0" w14:textId="77777777" w:rsidR="000C4950" w:rsidRPr="00911C18" w:rsidRDefault="000C4950" w:rsidP="000C4950">
            <w:r w:rsidRPr="00911C18">
              <w:t xml:space="preserve">Verzoeken om een minnelijke schuldsaneringsregeling gedaan door een persoon of instelling als bedoeld in artikel 48, eerste lid, van de Wet op het consumentenkrediet, niet zijnde een NVVK-lid of een gemeente, worden in behandeling genomen met inachtneming van het volgende. De ontvanger zal een belangenafweging moeten maken en zich daarbij moeten afvragen of hij al dan niet tot instemming met de schuldregeling kan komen, in aanmerking genomen de onevenredigheid tussen het belang dat hij heeft bij de uitoefening van de bevoegdheid tot weigering en het belang van de schuldenaar dat door die weigering wordt geschaad. Artikel 73.5 is daarbij van overeenkomstige toepassing. </w:t>
            </w:r>
            <w:r w:rsidRPr="00D143AE">
              <w:t>Dit betekent onder meer dat de schuldregeling betrekking moet hebben op natuurlijke personen.</w:t>
            </w:r>
          </w:p>
          <w:p w14:paraId="465F019F" w14:textId="77777777" w:rsidR="000C4950" w:rsidRPr="006F0D00" w:rsidRDefault="000C4950" w:rsidP="000C6A9E"/>
        </w:tc>
        <w:tc>
          <w:tcPr>
            <w:tcW w:w="4747" w:type="dxa"/>
          </w:tcPr>
          <w:p w14:paraId="2DFF4CA5" w14:textId="77777777" w:rsidR="000C4950" w:rsidRPr="007440F6" w:rsidRDefault="000C4950" w:rsidP="000C4950">
            <w:pPr>
              <w:rPr>
                <w:b/>
              </w:rPr>
            </w:pPr>
            <w:r w:rsidRPr="007440F6">
              <w:rPr>
                <w:b/>
              </w:rPr>
              <w:t>Artikel 73.5a Insolventieprocedure - minnelijke schuldsanering door anderen dan leden van de NVVK of gemeenten</w:t>
            </w:r>
          </w:p>
          <w:p w14:paraId="362C2D4F" w14:textId="77777777" w:rsidR="000C4950" w:rsidRPr="007440F6" w:rsidRDefault="000C4950" w:rsidP="000C4950"/>
          <w:p w14:paraId="57D30198" w14:textId="77777777" w:rsidR="000C4950" w:rsidRPr="007440F6" w:rsidRDefault="000C4950" w:rsidP="000C4950">
            <w:pPr>
              <w:rPr>
                <w:b/>
              </w:rPr>
            </w:pPr>
            <w:r w:rsidRPr="007440F6">
              <w:rPr>
                <w:b/>
              </w:rPr>
              <w:t>Algemeen</w:t>
            </w:r>
          </w:p>
          <w:p w14:paraId="54F11283" w14:textId="77777777" w:rsidR="000C4950" w:rsidRPr="00911C18" w:rsidRDefault="000C4950" w:rsidP="000C4950">
            <w:r w:rsidRPr="00911C18">
              <w:t xml:space="preserve">Verzoeken om een minnelijke schuldsaneringsregeling gedaan door een persoon of instelling als bedoeld in artikel 48, eerste lid, van de Wet op het consumentenkrediet, niet zijnde een NVVK-lid of een gemeente, worden in behandeling genomen met inachtneming van het volgende. De ontvanger zal een belangenafweging moeten maken en zich daarbij moeten afvragen of hij al dan niet tot instemming met de schuldregeling kan komen, in aanmerking genomen de onevenredigheid tussen het belang dat hij heeft bij de uitoefening van de bevoegdheid tot weigering en het belang van de schuldenaar dat door die weigering wordt geschaad. Artikel 73.5 is daarbij van overeenkomstige toepassing. </w:t>
            </w:r>
            <w:r w:rsidRPr="00D143AE">
              <w:t>Dit betekent onder meer dat de schuldregeling betrekking moet hebben op natuurlijke personen.</w:t>
            </w:r>
          </w:p>
          <w:p w14:paraId="45CE0488" w14:textId="77777777" w:rsidR="000C4950" w:rsidRPr="006F0D00" w:rsidRDefault="000C4950" w:rsidP="000C6A9E"/>
        </w:tc>
      </w:tr>
    </w:tbl>
    <w:p w14:paraId="31D46925" w14:textId="777F7BB5" w:rsidR="000C6A9E" w:rsidRDefault="000C6A9E"/>
    <w:tbl>
      <w:tblPr>
        <w:tblStyle w:val="VNGtabelmiddenblauw"/>
        <w:tblW w:w="9493" w:type="dxa"/>
        <w:tblLook w:val="04A0" w:firstRow="1" w:lastRow="0" w:firstColumn="1" w:lastColumn="0" w:noHBand="0" w:noVBand="1"/>
      </w:tblPr>
      <w:tblGrid>
        <w:gridCol w:w="4746"/>
        <w:gridCol w:w="4747"/>
      </w:tblGrid>
      <w:tr w:rsidR="000C6A9E" w14:paraId="3FE3C40E" w14:textId="77777777" w:rsidTr="002348FC">
        <w:trPr>
          <w:cnfStyle w:val="100000000000" w:firstRow="1" w:lastRow="0" w:firstColumn="0" w:lastColumn="0" w:oddVBand="0" w:evenVBand="0" w:oddHBand="0" w:evenHBand="0" w:firstRowFirstColumn="0" w:firstRowLastColumn="0" w:lastRowFirstColumn="0" w:lastRowLastColumn="0"/>
        </w:trPr>
        <w:tc>
          <w:tcPr>
            <w:tcW w:w="4746" w:type="dxa"/>
          </w:tcPr>
          <w:p w14:paraId="409F70DA" w14:textId="289A2F78" w:rsidR="000C6A9E" w:rsidRPr="006F0D00" w:rsidRDefault="000C6A9E" w:rsidP="00E7442E">
            <w:r>
              <w:t>WAS</w:t>
            </w:r>
          </w:p>
        </w:tc>
        <w:tc>
          <w:tcPr>
            <w:tcW w:w="4747" w:type="dxa"/>
          </w:tcPr>
          <w:p w14:paraId="3FB9399B" w14:textId="44AD09EE" w:rsidR="000C6A9E" w:rsidRPr="006F0D00" w:rsidRDefault="000C6A9E" w:rsidP="00E7442E">
            <w:r>
              <w:t>WORDT</w:t>
            </w:r>
          </w:p>
        </w:tc>
      </w:tr>
      <w:tr w:rsidR="00D51E9D" w14:paraId="1B8E3892" w14:textId="77777777" w:rsidTr="006F3126">
        <w:trPr>
          <w:trHeight w:val="7810"/>
        </w:trPr>
        <w:tc>
          <w:tcPr>
            <w:tcW w:w="4746" w:type="dxa"/>
          </w:tcPr>
          <w:p w14:paraId="5D150FDE" w14:textId="77777777" w:rsidR="00D51E9D" w:rsidRPr="00911C18" w:rsidRDefault="00D51E9D" w:rsidP="000C6A9E">
            <w:r w:rsidRPr="00911C18">
              <w:t>Bij die belangenafweging zullen de volgende omstandigheden een rol kunnen spelen:</w:t>
            </w:r>
          </w:p>
          <w:p w14:paraId="0C0EA113" w14:textId="77777777" w:rsidR="00D51E9D" w:rsidRPr="00911C18" w:rsidRDefault="00D51E9D" w:rsidP="000C6A9E">
            <w:pPr>
              <w:rPr>
                <w:color w:val="FFFFFF"/>
              </w:rPr>
            </w:pPr>
            <w:r w:rsidRPr="00403AB4">
              <w:rPr>
                <w:rStyle w:val="ol"/>
                <w:rFonts w:cstheme="minorHAnsi"/>
                <w:color w:val="000000"/>
              </w:rPr>
              <w:t>1.</w:t>
            </w:r>
            <w:r w:rsidRPr="00911C18">
              <w:rPr>
                <w:rStyle w:val="ol"/>
                <w:rFonts w:ascii="Calibri" w:hAnsi="Calibri"/>
                <w:color w:val="000000"/>
              </w:rPr>
              <w:t xml:space="preserve"> </w:t>
            </w:r>
            <w:r w:rsidRPr="00911C18">
              <w:t>is het schikkingsvoorstel goed en betrouwbaar gedocumenteerd;</w:t>
            </w:r>
          </w:p>
          <w:p w14:paraId="28461F2F" w14:textId="77777777" w:rsidR="00D51E9D" w:rsidRPr="00911C18" w:rsidRDefault="00D51E9D" w:rsidP="000C6A9E">
            <w:pPr>
              <w:rPr>
                <w:color w:val="FFFFFF"/>
              </w:rPr>
            </w:pPr>
            <w:r w:rsidRPr="00403AB4">
              <w:rPr>
                <w:rStyle w:val="ol"/>
                <w:rFonts w:cstheme="minorHAnsi"/>
                <w:color w:val="000000"/>
              </w:rPr>
              <w:t>2.</w:t>
            </w:r>
            <w:r w:rsidRPr="00911C18">
              <w:rPr>
                <w:rStyle w:val="ol"/>
                <w:rFonts w:ascii="Calibri" w:hAnsi="Calibri"/>
                <w:color w:val="000000"/>
              </w:rPr>
              <w:t xml:space="preserve"> </w:t>
            </w:r>
            <w:r w:rsidRPr="00911C18">
              <w:t>is voldoende duidelijk gemaakt dat het aanbod het uiterste is waartoe de schuldenaar financieel in staat moet worden geacht;</w:t>
            </w:r>
          </w:p>
          <w:p w14:paraId="25271A47" w14:textId="77777777" w:rsidR="00D51E9D" w:rsidRPr="00911C18" w:rsidRDefault="00D51E9D" w:rsidP="000C6A9E">
            <w:pPr>
              <w:rPr>
                <w:color w:val="FFFFFF"/>
              </w:rPr>
            </w:pPr>
            <w:r w:rsidRPr="00403AB4">
              <w:rPr>
                <w:rStyle w:val="ol"/>
                <w:rFonts w:cstheme="minorHAnsi"/>
                <w:color w:val="000000"/>
              </w:rPr>
              <w:t>3.</w:t>
            </w:r>
            <w:r w:rsidRPr="00911C18">
              <w:rPr>
                <w:rStyle w:val="ol"/>
                <w:rFonts w:ascii="Calibri" w:hAnsi="Calibri"/>
                <w:color w:val="000000"/>
              </w:rPr>
              <w:t xml:space="preserve"> </w:t>
            </w:r>
            <w:r w:rsidRPr="00911C18">
              <w:t>biedt het alternatief van faillissement of schuldsanering enig uitzicht voor de schuldenaar;</w:t>
            </w:r>
          </w:p>
          <w:p w14:paraId="6827E537" w14:textId="77777777" w:rsidR="00D51E9D" w:rsidRPr="00911C18" w:rsidRDefault="00D51E9D" w:rsidP="000C6A9E">
            <w:pPr>
              <w:rPr>
                <w:color w:val="FFFFFF"/>
              </w:rPr>
            </w:pPr>
            <w:r w:rsidRPr="00403AB4">
              <w:rPr>
                <w:rStyle w:val="ol"/>
                <w:rFonts w:cstheme="minorHAnsi"/>
                <w:color w:val="000000"/>
              </w:rPr>
              <w:t>4.</w:t>
            </w:r>
            <w:r w:rsidRPr="00911C18">
              <w:rPr>
                <w:rStyle w:val="ol"/>
                <w:rFonts w:ascii="Calibri" w:hAnsi="Calibri"/>
                <w:color w:val="000000"/>
              </w:rPr>
              <w:t xml:space="preserve"> </w:t>
            </w:r>
            <w:r w:rsidRPr="00911C18">
              <w:t>biedt het alternatief van faillissement of schuldsanering enig uitzicht voor de ontvanger: hoe groot is de kans dat de weigerende ontvanger dan evenveel of meer zal ontvangen;</w:t>
            </w:r>
          </w:p>
          <w:p w14:paraId="5D915D80" w14:textId="77777777" w:rsidR="00D51E9D" w:rsidRPr="00911C18" w:rsidRDefault="00D51E9D" w:rsidP="000C6A9E">
            <w:pPr>
              <w:rPr>
                <w:color w:val="FFFFFF"/>
              </w:rPr>
            </w:pPr>
            <w:r w:rsidRPr="00403AB4">
              <w:rPr>
                <w:rStyle w:val="ol"/>
                <w:rFonts w:cstheme="minorHAnsi"/>
                <w:color w:val="000000"/>
              </w:rPr>
              <w:t>5.</w:t>
            </w:r>
            <w:r w:rsidRPr="00911C18">
              <w:rPr>
                <w:rStyle w:val="ol"/>
                <w:rFonts w:ascii="Calibri" w:hAnsi="Calibri"/>
                <w:color w:val="000000"/>
              </w:rPr>
              <w:t xml:space="preserve"> </w:t>
            </w:r>
            <w:r w:rsidRPr="00911C18">
              <w:t>bestaat er precedentwerking voor vergelijkbare gevallen;</w:t>
            </w:r>
          </w:p>
          <w:p w14:paraId="49151AAC" w14:textId="77777777" w:rsidR="00D51E9D" w:rsidRPr="00911C18" w:rsidRDefault="00D51E9D" w:rsidP="00F02E4B">
            <w:pPr>
              <w:rPr>
                <w:color w:val="FFFFFF"/>
              </w:rPr>
            </w:pPr>
            <w:r w:rsidRPr="00403AB4">
              <w:rPr>
                <w:rStyle w:val="ol"/>
                <w:rFonts w:cstheme="minorHAnsi"/>
                <w:color w:val="000000"/>
              </w:rPr>
              <w:t>6.</w:t>
            </w:r>
            <w:r w:rsidRPr="00911C18">
              <w:rPr>
                <w:rStyle w:val="ol"/>
                <w:rFonts w:ascii="Calibri" w:hAnsi="Calibri"/>
                <w:color w:val="000000"/>
              </w:rPr>
              <w:t xml:space="preserve"> </w:t>
            </w:r>
            <w:r w:rsidRPr="00911C18">
              <w:t>wat is de zwaarte van het financiële belang dat de ontvanger heeft bij volledige nakoming;</w:t>
            </w:r>
          </w:p>
          <w:p w14:paraId="1FE99DAD" w14:textId="77777777" w:rsidR="00D51E9D" w:rsidRPr="00911C18" w:rsidRDefault="00D51E9D" w:rsidP="00F02E4B">
            <w:pPr>
              <w:rPr>
                <w:color w:val="FFFFFF"/>
              </w:rPr>
            </w:pPr>
            <w:r w:rsidRPr="00403AB4">
              <w:rPr>
                <w:rStyle w:val="ol"/>
                <w:rFonts w:cstheme="minorHAnsi"/>
                <w:color w:val="000000"/>
              </w:rPr>
              <w:t>7.</w:t>
            </w:r>
            <w:r w:rsidRPr="00911C18">
              <w:rPr>
                <w:rStyle w:val="ol"/>
                <w:rFonts w:ascii="Calibri" w:hAnsi="Calibri"/>
                <w:color w:val="000000"/>
              </w:rPr>
              <w:t xml:space="preserve"> </w:t>
            </w:r>
            <w:r w:rsidRPr="00911C18">
              <w:t>hoe groot is het aandeel van de weigerende ontvanger in de totale schuldenlast;</w:t>
            </w:r>
          </w:p>
          <w:p w14:paraId="55AABA4A" w14:textId="77777777" w:rsidR="00D51E9D" w:rsidRPr="006F0D00" w:rsidRDefault="00D51E9D" w:rsidP="00D51E9D">
            <w:r w:rsidRPr="00403AB4">
              <w:rPr>
                <w:rStyle w:val="ol"/>
                <w:rFonts w:cstheme="minorHAnsi"/>
                <w:color w:val="000000"/>
              </w:rPr>
              <w:t>8.</w:t>
            </w:r>
            <w:r w:rsidRPr="00911C18">
              <w:rPr>
                <w:rStyle w:val="ol"/>
                <w:rFonts w:ascii="Calibri" w:hAnsi="Calibri"/>
                <w:color w:val="000000"/>
              </w:rPr>
              <w:t xml:space="preserve"> </w:t>
            </w:r>
            <w:r w:rsidRPr="00911C18">
              <w:t>staat de weigerende ontvanger alleen naast de overige met de schuldregeling instemmende schuldeisers;</w:t>
            </w:r>
          </w:p>
          <w:p w14:paraId="11B98F8A" w14:textId="77777777" w:rsidR="00D51E9D" w:rsidRPr="00911C18" w:rsidRDefault="00D51E9D" w:rsidP="00E7442E">
            <w:pPr>
              <w:rPr>
                <w:color w:val="FFFFFF"/>
              </w:rPr>
            </w:pPr>
            <w:r w:rsidRPr="00403AB4">
              <w:rPr>
                <w:rStyle w:val="ol"/>
                <w:rFonts w:cstheme="minorHAnsi"/>
                <w:color w:val="000000"/>
              </w:rPr>
              <w:t>9.</w:t>
            </w:r>
            <w:r w:rsidRPr="00911C18">
              <w:rPr>
                <w:rStyle w:val="ol"/>
                <w:rFonts w:ascii="Calibri" w:hAnsi="Calibri"/>
                <w:color w:val="000000"/>
              </w:rPr>
              <w:t xml:space="preserve"> </w:t>
            </w:r>
            <w:r w:rsidRPr="00911C18">
              <w:t>is er eerder een minnelijke of een gedwongen schuldregeling geweest die niet naar behoren is nagekomen.</w:t>
            </w:r>
          </w:p>
          <w:p w14:paraId="16C44EC4" w14:textId="77777777" w:rsidR="00D51E9D" w:rsidRPr="00911C18" w:rsidRDefault="00D51E9D" w:rsidP="00E7442E">
            <w:r w:rsidRPr="00911C18">
              <w:t xml:space="preserve">Als uit de belangenafweging volgt dat kan worden ingestemd met een dergelijk verzoek dan verleent de ontvanger op het moment van het ingaan van de schuldregeling voor </w:t>
            </w:r>
            <w:r w:rsidRPr="00E73753">
              <w:rPr>
                <w:i/>
                <w:iCs/>
              </w:rPr>
              <w:t>36</w:t>
            </w:r>
            <w:r>
              <w:t xml:space="preserve"> </w:t>
            </w:r>
            <w:r w:rsidRPr="00911C18">
              <w:t>maanden uitstel van betaling.</w:t>
            </w:r>
          </w:p>
          <w:p w14:paraId="6D9F4F8B" w14:textId="05D28655" w:rsidR="00D51E9D" w:rsidRPr="006F0D00" w:rsidRDefault="00D51E9D" w:rsidP="00E7442E">
            <w:pPr>
              <w:spacing w:line="260" w:lineRule="atLeast"/>
            </w:pPr>
          </w:p>
        </w:tc>
        <w:tc>
          <w:tcPr>
            <w:tcW w:w="4747" w:type="dxa"/>
          </w:tcPr>
          <w:p w14:paraId="38D037B8" w14:textId="77777777" w:rsidR="00D51E9D" w:rsidRPr="00911C18" w:rsidRDefault="00D51E9D" w:rsidP="000C6A9E">
            <w:r w:rsidRPr="00911C18">
              <w:t>Bij die belangenafweging zullen de volgende omstandigheden een rol kunnen spelen:</w:t>
            </w:r>
          </w:p>
          <w:p w14:paraId="26F6504F" w14:textId="77777777" w:rsidR="00D51E9D" w:rsidRPr="00911C18" w:rsidRDefault="00D51E9D" w:rsidP="000C6A9E">
            <w:pPr>
              <w:rPr>
                <w:color w:val="FFFFFF"/>
              </w:rPr>
            </w:pPr>
            <w:r w:rsidRPr="00403AB4">
              <w:rPr>
                <w:rStyle w:val="ol"/>
                <w:rFonts w:cstheme="minorHAnsi"/>
                <w:color w:val="000000"/>
              </w:rPr>
              <w:t>1.</w:t>
            </w:r>
            <w:r w:rsidRPr="00911C18">
              <w:rPr>
                <w:rStyle w:val="ol"/>
                <w:rFonts w:ascii="Calibri" w:hAnsi="Calibri"/>
                <w:color w:val="000000"/>
              </w:rPr>
              <w:t xml:space="preserve"> </w:t>
            </w:r>
            <w:r w:rsidRPr="00911C18">
              <w:t>is het schikkingsvoorstel goed en betrouwbaar gedocumenteerd;</w:t>
            </w:r>
          </w:p>
          <w:p w14:paraId="52739E98" w14:textId="77777777" w:rsidR="00D51E9D" w:rsidRPr="00911C18" w:rsidRDefault="00D51E9D" w:rsidP="000C6A9E">
            <w:pPr>
              <w:rPr>
                <w:color w:val="FFFFFF"/>
              </w:rPr>
            </w:pPr>
            <w:r w:rsidRPr="00403AB4">
              <w:rPr>
                <w:rStyle w:val="ol"/>
                <w:rFonts w:cstheme="minorHAnsi"/>
                <w:color w:val="000000"/>
              </w:rPr>
              <w:t>2.</w:t>
            </w:r>
            <w:r w:rsidRPr="00911C18">
              <w:rPr>
                <w:rStyle w:val="ol"/>
                <w:rFonts w:ascii="Calibri" w:hAnsi="Calibri"/>
                <w:color w:val="000000"/>
              </w:rPr>
              <w:t xml:space="preserve"> </w:t>
            </w:r>
            <w:r w:rsidRPr="00911C18">
              <w:t>is voldoende duidelijk gemaakt dat het aanbod het uiterste is waartoe de schuldenaar financieel in staat moet worden geacht;</w:t>
            </w:r>
          </w:p>
          <w:p w14:paraId="38981A64" w14:textId="77777777" w:rsidR="00D51E9D" w:rsidRPr="00911C18" w:rsidRDefault="00D51E9D" w:rsidP="000C6A9E">
            <w:pPr>
              <w:rPr>
                <w:color w:val="FFFFFF"/>
              </w:rPr>
            </w:pPr>
            <w:r w:rsidRPr="00403AB4">
              <w:rPr>
                <w:rStyle w:val="ol"/>
                <w:rFonts w:cstheme="minorHAnsi"/>
                <w:color w:val="000000"/>
              </w:rPr>
              <w:t>3.</w:t>
            </w:r>
            <w:r w:rsidRPr="00911C18">
              <w:rPr>
                <w:rStyle w:val="ol"/>
                <w:rFonts w:ascii="Calibri" w:hAnsi="Calibri"/>
                <w:color w:val="000000"/>
              </w:rPr>
              <w:t xml:space="preserve"> </w:t>
            </w:r>
            <w:r w:rsidRPr="00911C18">
              <w:t>biedt het alternatief van faillissement of schuldsanering enig uitzicht voor de schuldenaar;</w:t>
            </w:r>
          </w:p>
          <w:p w14:paraId="3E393AC1" w14:textId="77777777" w:rsidR="00D51E9D" w:rsidRPr="00911C18" w:rsidRDefault="00D51E9D" w:rsidP="000C6A9E">
            <w:pPr>
              <w:rPr>
                <w:color w:val="FFFFFF"/>
              </w:rPr>
            </w:pPr>
            <w:r w:rsidRPr="00403AB4">
              <w:rPr>
                <w:rStyle w:val="ol"/>
                <w:rFonts w:cstheme="minorHAnsi"/>
                <w:color w:val="000000"/>
              </w:rPr>
              <w:t>4.</w:t>
            </w:r>
            <w:r w:rsidRPr="00911C18">
              <w:rPr>
                <w:rStyle w:val="ol"/>
                <w:rFonts w:ascii="Calibri" w:hAnsi="Calibri"/>
                <w:color w:val="000000"/>
              </w:rPr>
              <w:t xml:space="preserve"> </w:t>
            </w:r>
            <w:r w:rsidRPr="00911C18">
              <w:t>biedt het alternatief van faillissement of schuldsanering enig uitzicht voor de ontvanger: hoe groot is de kans dat de weigerende ontvanger dan evenveel of meer zal ontvangen;</w:t>
            </w:r>
          </w:p>
          <w:p w14:paraId="348FE271" w14:textId="77777777" w:rsidR="00D51E9D" w:rsidRPr="00911C18" w:rsidRDefault="00D51E9D" w:rsidP="000C6A9E">
            <w:pPr>
              <w:rPr>
                <w:color w:val="FFFFFF"/>
              </w:rPr>
            </w:pPr>
            <w:r w:rsidRPr="00403AB4">
              <w:rPr>
                <w:rStyle w:val="ol"/>
                <w:rFonts w:cstheme="minorHAnsi"/>
                <w:color w:val="000000"/>
              </w:rPr>
              <w:t>5.</w:t>
            </w:r>
            <w:r w:rsidRPr="00911C18">
              <w:rPr>
                <w:rStyle w:val="ol"/>
                <w:rFonts w:ascii="Calibri" w:hAnsi="Calibri"/>
                <w:color w:val="000000"/>
              </w:rPr>
              <w:t xml:space="preserve"> </w:t>
            </w:r>
            <w:r w:rsidRPr="00911C18">
              <w:t>bestaat er precedentwerking voor vergelijkbare gevallen;</w:t>
            </w:r>
          </w:p>
          <w:p w14:paraId="7ACAFA52" w14:textId="77777777" w:rsidR="00D51E9D" w:rsidRPr="00911C18" w:rsidRDefault="00D51E9D" w:rsidP="00F02E4B">
            <w:pPr>
              <w:rPr>
                <w:color w:val="FFFFFF"/>
              </w:rPr>
            </w:pPr>
            <w:r w:rsidRPr="00403AB4">
              <w:rPr>
                <w:rStyle w:val="ol"/>
                <w:rFonts w:cstheme="minorHAnsi"/>
                <w:color w:val="000000"/>
              </w:rPr>
              <w:t>6.</w:t>
            </w:r>
            <w:r w:rsidRPr="00911C18">
              <w:rPr>
                <w:rStyle w:val="ol"/>
                <w:rFonts w:ascii="Calibri" w:hAnsi="Calibri"/>
                <w:color w:val="000000"/>
              </w:rPr>
              <w:t xml:space="preserve"> </w:t>
            </w:r>
            <w:r w:rsidRPr="00911C18">
              <w:t>wat is de zwaarte van het financiële belang dat de ontvanger heeft bij volledige nakoming;</w:t>
            </w:r>
          </w:p>
          <w:p w14:paraId="63F0EEEE" w14:textId="77777777" w:rsidR="00D51E9D" w:rsidRPr="00911C18" w:rsidRDefault="00D51E9D" w:rsidP="00F02E4B">
            <w:pPr>
              <w:rPr>
                <w:color w:val="FFFFFF"/>
              </w:rPr>
            </w:pPr>
            <w:r w:rsidRPr="00403AB4">
              <w:rPr>
                <w:rStyle w:val="ol"/>
                <w:rFonts w:cstheme="minorHAnsi"/>
                <w:color w:val="000000"/>
              </w:rPr>
              <w:t>7.</w:t>
            </w:r>
            <w:r w:rsidRPr="00911C18">
              <w:rPr>
                <w:rStyle w:val="ol"/>
                <w:rFonts w:ascii="Calibri" w:hAnsi="Calibri"/>
                <w:color w:val="000000"/>
              </w:rPr>
              <w:t xml:space="preserve"> </w:t>
            </w:r>
            <w:r w:rsidRPr="00911C18">
              <w:t>hoe groot is het aandeel van de weigerende ontvanger in de totale schuldenlast;</w:t>
            </w:r>
          </w:p>
          <w:p w14:paraId="2D0B1786" w14:textId="77777777" w:rsidR="00D51E9D" w:rsidRPr="00911C18" w:rsidRDefault="00D51E9D" w:rsidP="00F02E4B">
            <w:pPr>
              <w:rPr>
                <w:color w:val="FFFFFF"/>
              </w:rPr>
            </w:pPr>
            <w:r w:rsidRPr="00403AB4">
              <w:rPr>
                <w:rStyle w:val="ol"/>
                <w:rFonts w:cstheme="minorHAnsi"/>
                <w:color w:val="000000"/>
              </w:rPr>
              <w:t>8.</w:t>
            </w:r>
            <w:r w:rsidRPr="00911C18">
              <w:rPr>
                <w:rStyle w:val="ol"/>
                <w:rFonts w:ascii="Calibri" w:hAnsi="Calibri"/>
                <w:color w:val="000000"/>
              </w:rPr>
              <w:t xml:space="preserve"> </w:t>
            </w:r>
            <w:r w:rsidRPr="00911C18">
              <w:t>staat de weigerende ontvanger alleen naast de overige met de schuldregeling instemmende schuldeisers;</w:t>
            </w:r>
          </w:p>
          <w:p w14:paraId="39609234" w14:textId="77777777" w:rsidR="00D51E9D" w:rsidRPr="00911C18" w:rsidRDefault="00D51E9D" w:rsidP="00E7442E">
            <w:pPr>
              <w:rPr>
                <w:color w:val="FFFFFF"/>
              </w:rPr>
            </w:pPr>
            <w:r w:rsidRPr="00403AB4">
              <w:rPr>
                <w:rStyle w:val="ol"/>
                <w:rFonts w:cstheme="minorHAnsi"/>
                <w:color w:val="000000"/>
              </w:rPr>
              <w:t>9.</w:t>
            </w:r>
            <w:r w:rsidRPr="00911C18">
              <w:rPr>
                <w:rStyle w:val="ol"/>
                <w:rFonts w:ascii="Calibri" w:hAnsi="Calibri"/>
                <w:color w:val="000000"/>
              </w:rPr>
              <w:t xml:space="preserve"> </w:t>
            </w:r>
            <w:r w:rsidRPr="00911C18">
              <w:t>is er eerder een minnelijke of een gedwongen schuldregeling geweest die niet naar behoren is nagekomen.</w:t>
            </w:r>
          </w:p>
          <w:p w14:paraId="48D5964E" w14:textId="77777777" w:rsidR="00D51E9D" w:rsidRPr="00911C18" w:rsidRDefault="00D51E9D" w:rsidP="00E7442E">
            <w:r w:rsidRPr="00911C18">
              <w:t xml:space="preserve">Als uit de belangenafweging volgt dat kan worden ingestemd met een dergelijk verzoek dan verleent de ontvanger op het moment van het ingaan van de schuldregeling voor </w:t>
            </w:r>
            <w:r w:rsidRPr="00E73753">
              <w:rPr>
                <w:b/>
                <w:bCs/>
              </w:rPr>
              <w:t xml:space="preserve">18 </w:t>
            </w:r>
            <w:r w:rsidRPr="00911C18">
              <w:t>maanden uitstel van betaling.</w:t>
            </w:r>
          </w:p>
          <w:p w14:paraId="13BB829B" w14:textId="77777777" w:rsidR="00D51E9D" w:rsidRPr="006F0D00" w:rsidRDefault="00D51E9D" w:rsidP="00E7442E">
            <w:pPr>
              <w:spacing w:line="260" w:lineRule="atLeast"/>
            </w:pPr>
          </w:p>
        </w:tc>
      </w:tr>
    </w:tbl>
    <w:p w14:paraId="47716223" w14:textId="771E3890" w:rsidR="00F71926" w:rsidRDefault="00F71926" w:rsidP="0011248A"/>
    <w:p w14:paraId="5732E5E8" w14:textId="77777777" w:rsidR="00796DBC" w:rsidRPr="00465D13" w:rsidRDefault="00796DBC" w:rsidP="00796DBC">
      <w:pPr>
        <w:rPr>
          <w:rFonts w:eastAsiaTheme="majorEastAsia" w:cs="Arial"/>
          <w:b/>
          <w:bCs/>
        </w:rPr>
      </w:pPr>
      <w:r w:rsidRPr="00465D13">
        <w:rPr>
          <w:rFonts w:eastAsiaTheme="majorEastAsia" w:cs="Arial"/>
          <w:b/>
          <w:bCs/>
        </w:rPr>
        <w:t>TOELICHTING</w:t>
      </w:r>
    </w:p>
    <w:p w14:paraId="7193AD09" w14:textId="2F70699D" w:rsidR="00796DBC" w:rsidRDefault="00796DBC" w:rsidP="00796DBC">
      <w:r>
        <w:t>De wijziging van artikel 14.2.14</w:t>
      </w:r>
      <w:r w:rsidRPr="00796DBC">
        <w:t xml:space="preserve"> </w:t>
      </w:r>
      <w:r>
        <w:t xml:space="preserve">betreft een redactionele wijziging. Er is geen beleidswijziging beoogd. </w:t>
      </w:r>
    </w:p>
    <w:p w14:paraId="496221D6" w14:textId="77777777" w:rsidR="00796DBC" w:rsidRDefault="00796DBC" w:rsidP="00796DBC"/>
    <w:p w14:paraId="54B8FA6A" w14:textId="2218786C" w:rsidR="00796DBC" w:rsidRDefault="00796DBC" w:rsidP="00796DBC">
      <w:r>
        <w:t>De wijziging van artikel 19.3.2</w:t>
      </w:r>
      <w:r w:rsidRPr="00796DBC">
        <w:t xml:space="preserve"> </w:t>
      </w:r>
      <w:r>
        <w:t>betreft een technische wijziging. Bij de meest recente wijziging van artikel 19, negende lid van de Invorderingswet 1990</w:t>
      </w:r>
      <w:r>
        <w:rPr>
          <w:rStyle w:val="Voetnootmarkering"/>
        </w:rPr>
        <w:footnoteReference w:id="1"/>
      </w:r>
      <w:r>
        <w:t xml:space="preserve"> is de termijn die de ontvanger in acht moet nemen bij het doen van een vordering aangepast naar vier weken, waardoor de in dit artikel genoemde termijn niet meer juist was. De regel van de laatste alinea van dit artikel is inmiddels in artikel 19, negende lid van de Invorderingswet 1990 vastgelegd, zodat de laatste alinea haar belang heeft verloren en komt te vervallen. Er is geen beleidswijziging beoogd. </w:t>
      </w:r>
    </w:p>
    <w:p w14:paraId="576B8F05" w14:textId="77777777" w:rsidR="00796DBC" w:rsidRDefault="00796DBC" w:rsidP="00796DBC"/>
    <w:p w14:paraId="545A9CD7" w14:textId="454674F8" w:rsidR="00796DBC" w:rsidRDefault="00796DBC" w:rsidP="00796DBC">
      <w:r>
        <w:lastRenderedPageBreak/>
        <w:t>De wijziging van artikel 26</w:t>
      </w:r>
      <w:r w:rsidRPr="00796DBC">
        <w:t xml:space="preserve"> </w:t>
      </w:r>
      <w:r>
        <w:t xml:space="preserve">betreft een redactionele wijziging. </w:t>
      </w:r>
      <w:r w:rsidRPr="008867F8">
        <w:t xml:space="preserve">De Regeling kwijtschelding belastingen medeoverheden bevat </w:t>
      </w:r>
      <w:r>
        <w:t xml:space="preserve">de </w:t>
      </w:r>
      <w:r w:rsidRPr="008867F8">
        <w:t xml:space="preserve">regels over de wijze waarop in afwijking van de </w:t>
      </w:r>
      <w:r>
        <w:t>Uitvoeringsregeling Invorderingswet 1990</w:t>
      </w:r>
      <w:r w:rsidRPr="008867F8">
        <w:t xml:space="preserve"> het vermogen en de kosten van bestaan van belastingschuldigen </w:t>
      </w:r>
      <w:r>
        <w:t>kunnen worden vastgesteld. Dit gebeurt bij raadsbesluit. In artikel 26 is nu enkel facultatief een verwijzing naar het raadsbesluit opgenomen. Er is geen beleidswijziging beoogd.</w:t>
      </w:r>
    </w:p>
    <w:p w14:paraId="333FBEC5" w14:textId="77777777" w:rsidR="00796DBC" w:rsidRDefault="00796DBC" w:rsidP="00796DBC"/>
    <w:p w14:paraId="47BD6604" w14:textId="73A998BD" w:rsidR="00796DBC" w:rsidRDefault="00796DBC" w:rsidP="00796DBC">
      <w:r>
        <w:t>De wijziging van artikel 73.5.1 en artikel 73.5a houdt verband met een wijziging van de Faillissementswet. Op 7 februari 2023 heeft de Eerste Kamer het wetsvoorstel tot wijziging van de Faillissementswet</w:t>
      </w:r>
      <w:r>
        <w:rPr>
          <w:rStyle w:val="Voetnootmarkering"/>
        </w:rPr>
        <w:footnoteReference w:id="2"/>
      </w:r>
      <w:r>
        <w:t xml:space="preserve"> aangenomen</w:t>
      </w:r>
      <w:r>
        <w:rPr>
          <w:rStyle w:val="Voetnootmarkering"/>
        </w:rPr>
        <w:footnoteReference w:id="3"/>
      </w:r>
      <w:r>
        <w:t xml:space="preserve"> waardoor onder meer een wettelijk schuldsaneringstraject wordt verkort van 36 maanden naar 18 maanden. In verband met die wijziging heeft de Minister voor Armoedebeleid, Participatie en Pensioenen aangekondigd dat de aflossingsperiode van minnelijke schuldregelingen ook wordt verkort naar 18 maanden.</w:t>
      </w:r>
      <w:r>
        <w:rPr>
          <w:rStyle w:val="Voetnootmarkering"/>
        </w:rPr>
        <w:footnoteReference w:id="4"/>
      </w:r>
      <w:r>
        <w:t xml:space="preserve"> Inmiddels is duidelijk geworden dat zowel de verkorting van de aflossingsperiode van minnelijke schuldregelingen als die van het wettelijk schuldsaneringstraject per 1 juli 2023 in werking treden.</w:t>
      </w:r>
      <w:r>
        <w:rPr>
          <w:rStyle w:val="Voetnootmarkering"/>
        </w:rPr>
        <w:footnoteReference w:id="5"/>
      </w:r>
      <w:r>
        <w:t xml:space="preserve"> In verband met de bedoelde wijziging is de in de artikelen 73.5.1 en 73.5a genoemde maximale uitsteltermijn ook gewijzigd naar 18 maanden. </w:t>
      </w:r>
    </w:p>
    <w:p w14:paraId="47FF7694" w14:textId="77777777" w:rsidR="00796DBC" w:rsidRDefault="00796DBC" w:rsidP="00796DBC">
      <w:pPr>
        <w:rPr>
          <w:rFonts w:eastAsia="Calibri" w:cs="Arial"/>
          <w:lang w:eastAsia="en-US"/>
        </w:rPr>
      </w:pPr>
    </w:p>
    <w:p w14:paraId="2E74DE6A" w14:textId="77777777" w:rsidR="00796DBC" w:rsidRPr="005943A1" w:rsidRDefault="00796DBC" w:rsidP="00796DBC">
      <w:pPr>
        <w:rPr>
          <w:rFonts w:eastAsia="Calibri" w:cs="Arial"/>
          <w:lang w:eastAsia="en-US"/>
        </w:rPr>
      </w:pPr>
      <w:r w:rsidRPr="005943A1">
        <w:rPr>
          <w:rFonts w:eastAsia="Calibri" w:cs="Arial"/>
          <w:lang w:eastAsia="en-US"/>
        </w:rPr>
        <w:t xml:space="preserve">Artikel II regelt de datum van inwerkingtreding van de onderhavige wijzigingen. </w:t>
      </w:r>
    </w:p>
    <w:p w14:paraId="54854965" w14:textId="77777777" w:rsidR="00796DBC" w:rsidRPr="005943A1" w:rsidRDefault="00796DBC" w:rsidP="00796DBC">
      <w:pPr>
        <w:rPr>
          <w:rFonts w:eastAsia="Calibri" w:cs="Arial"/>
          <w:lang w:eastAsia="en-US"/>
        </w:rPr>
      </w:pPr>
      <w:r w:rsidRPr="005943A1">
        <w:rPr>
          <w:rFonts w:eastAsia="Calibri" w:cs="Arial"/>
          <w:lang w:eastAsia="en-US"/>
        </w:rPr>
        <w:t xml:space="preserve">Dit besluit is na de inwerkingtreding terstond uitgewerkt en bevat daarom geen vervalbepaling. </w:t>
      </w:r>
    </w:p>
    <w:p w14:paraId="5D6CD848" w14:textId="77777777" w:rsidR="00796DBC" w:rsidRDefault="00796DBC" w:rsidP="0011248A"/>
    <w:sectPr w:rsidR="00796DBC"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425A" w14:textId="77777777" w:rsidR="002D2D21" w:rsidRDefault="002D2D21">
      <w:r>
        <w:separator/>
      </w:r>
    </w:p>
  </w:endnote>
  <w:endnote w:type="continuationSeparator" w:id="0">
    <w:p w14:paraId="1621C595" w14:textId="77777777" w:rsidR="002D2D21" w:rsidRDefault="002D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987E" w14:textId="77777777" w:rsidR="002D2D21" w:rsidRPr="00607447" w:rsidRDefault="002D2D21"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78599610" wp14:editId="1FDEE58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99610"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4517BC9D" wp14:editId="3AABADB3">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7BC9D"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453E" w14:textId="77777777" w:rsidR="002D2D21" w:rsidRPr="004776AB" w:rsidRDefault="002D2D21"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B7E0E35" wp14:editId="6DF3D2A1">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3DE4605A" wp14:editId="7D512BE4">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4605A"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A990" w14:textId="77777777" w:rsidR="002D2D21" w:rsidRDefault="002D2D21">
      <w:r>
        <w:separator/>
      </w:r>
    </w:p>
  </w:footnote>
  <w:footnote w:type="continuationSeparator" w:id="0">
    <w:p w14:paraId="19E1F17D" w14:textId="77777777" w:rsidR="002D2D21" w:rsidRDefault="002D2D21">
      <w:r>
        <w:continuationSeparator/>
      </w:r>
    </w:p>
  </w:footnote>
  <w:footnote w:id="1">
    <w:p w14:paraId="185D8D12" w14:textId="77777777" w:rsidR="00796DBC" w:rsidRDefault="00796DBC" w:rsidP="00796DBC">
      <w:pPr>
        <w:pStyle w:val="Voetnoottekst"/>
      </w:pPr>
      <w:r w:rsidRPr="0068081F">
        <w:rPr>
          <w:rStyle w:val="Voetnootmarkering"/>
        </w:rPr>
        <w:footnoteRef/>
      </w:r>
      <w:r w:rsidRPr="0068081F">
        <w:rPr>
          <w:sz w:val="18"/>
          <w:szCs w:val="18"/>
        </w:rPr>
        <w:t xml:space="preserve"> </w:t>
      </w:r>
      <w:r w:rsidRPr="0068081F">
        <w:rPr>
          <w:rFonts w:cs="Arial"/>
          <w:sz w:val="18"/>
          <w:szCs w:val="18"/>
          <w:shd w:val="clear" w:color="auto" w:fill="FFFFFF"/>
        </w:rPr>
        <w:t>Wet van 21 december 2022, houdende wijziging van enkele belastingwetten en enige andere wetten (Fiscale verzamelwet 2023), Artikel XII, onderdeel A, </w:t>
      </w:r>
      <w:hyperlink r:id="rId1" w:tooltip="link naar publicatie stb-2022-530" w:history="1">
        <w:r w:rsidRPr="0068081F">
          <w:rPr>
            <w:rFonts w:cs="Arial"/>
            <w:color w:val="154273"/>
            <w:sz w:val="18"/>
            <w:szCs w:val="18"/>
            <w:u w:val="single"/>
            <w:shd w:val="clear" w:color="auto" w:fill="FFFFFF"/>
          </w:rPr>
          <w:t>Stb. 2022, 530</w:t>
        </w:r>
      </w:hyperlink>
    </w:p>
  </w:footnote>
  <w:footnote w:id="2">
    <w:p w14:paraId="57F9BC29" w14:textId="77777777" w:rsidR="00796DBC" w:rsidRDefault="00796DBC" w:rsidP="00796DBC">
      <w:pPr>
        <w:pStyle w:val="Voetnoottekst"/>
      </w:pPr>
      <w:r>
        <w:rPr>
          <w:rStyle w:val="Voetnootmarkering"/>
        </w:rPr>
        <w:footnoteRef/>
      </w:r>
      <w:r w:rsidRPr="0068081F">
        <w:rPr>
          <w:sz w:val="18"/>
          <w:szCs w:val="18"/>
        </w:rPr>
        <w:t xml:space="preserve"> </w:t>
      </w:r>
      <w:r w:rsidRPr="0068081F">
        <w:rPr>
          <w:rFonts w:cs="Arial"/>
          <w:sz w:val="18"/>
          <w:szCs w:val="18"/>
          <w:shd w:val="clear" w:color="auto" w:fill="FFFFFF"/>
        </w:rPr>
        <w:t>Wet van 10 februari 2023 tot wijziging van de Faillissementswet ter verbetering van de doorstroom van de gemeentelijke schuldhulpverlening naar de wettelijke schuldsaneringsregeling natuurlijke personen, </w:t>
      </w:r>
      <w:hyperlink r:id="rId2" w:tooltip="link naar publicatie stb-2023-87" w:history="1">
        <w:r w:rsidRPr="0068081F">
          <w:rPr>
            <w:rFonts w:cs="Arial"/>
            <w:color w:val="154273"/>
            <w:sz w:val="18"/>
            <w:szCs w:val="18"/>
            <w:u w:val="single"/>
            <w:shd w:val="clear" w:color="auto" w:fill="FFFFFF"/>
          </w:rPr>
          <w:t>Stb. 2023, 87</w:t>
        </w:r>
      </w:hyperlink>
      <w:r w:rsidRPr="0068081F">
        <w:rPr>
          <w:rFonts w:cs="Arial"/>
          <w:color w:val="154273"/>
          <w:sz w:val="18"/>
          <w:szCs w:val="18"/>
          <w:shd w:val="clear" w:color="auto" w:fill="FFFFFF"/>
        </w:rPr>
        <w:t>.</w:t>
      </w:r>
    </w:p>
  </w:footnote>
  <w:footnote w:id="3">
    <w:p w14:paraId="22B45BD2" w14:textId="77777777" w:rsidR="00796DBC" w:rsidRDefault="00796DBC" w:rsidP="00796DBC">
      <w:pPr>
        <w:pStyle w:val="Voetnoottekst"/>
      </w:pPr>
      <w:r>
        <w:rPr>
          <w:rStyle w:val="Voetnootmarkering"/>
        </w:rPr>
        <w:footnoteRef/>
      </w:r>
      <w:r w:rsidRPr="0068081F">
        <w:rPr>
          <w:sz w:val="18"/>
          <w:szCs w:val="18"/>
        </w:rPr>
        <w:t xml:space="preserve"> </w:t>
      </w:r>
      <w:hyperlink r:id="rId3" w:history="1">
        <w:r w:rsidRPr="00773A21">
          <w:rPr>
            <w:rStyle w:val="Hyperlink"/>
            <w:rFonts w:eastAsiaTheme="majorEastAsia" w:cs="Arial"/>
            <w:sz w:val="18"/>
            <w:szCs w:val="18"/>
            <w:shd w:val="clear" w:color="auto" w:fill="FFFFFF"/>
          </w:rPr>
          <w:t>Verslag I, 2022/23, nr. 18, item 3</w:t>
        </w:r>
      </w:hyperlink>
      <w:r w:rsidRPr="0068081F">
        <w:rPr>
          <w:rFonts w:cs="Arial"/>
          <w:sz w:val="18"/>
          <w:szCs w:val="18"/>
          <w:shd w:val="clear" w:color="auto" w:fill="FFFFFF"/>
        </w:rPr>
        <w:t>.</w:t>
      </w:r>
    </w:p>
  </w:footnote>
  <w:footnote w:id="4">
    <w:p w14:paraId="7C33427B" w14:textId="77777777" w:rsidR="00796DBC" w:rsidRDefault="00796DBC" w:rsidP="00796DBC">
      <w:pPr>
        <w:pStyle w:val="Voetnoottekst"/>
      </w:pPr>
      <w:r w:rsidRPr="00773A21">
        <w:rPr>
          <w:rStyle w:val="Voetnootmarkering"/>
        </w:rPr>
        <w:footnoteRef/>
      </w:r>
      <w:r w:rsidRPr="00773A21">
        <w:rPr>
          <w:sz w:val="18"/>
          <w:szCs w:val="18"/>
        </w:rPr>
        <w:t xml:space="preserve"> </w:t>
      </w:r>
      <w:r w:rsidRPr="00773A21">
        <w:rPr>
          <w:rFonts w:cs="Arial"/>
          <w:sz w:val="18"/>
          <w:szCs w:val="18"/>
          <w:shd w:val="clear" w:color="auto" w:fill="FFFFFF"/>
        </w:rPr>
        <w:t>Kamerstukken II, 2022/23, </w:t>
      </w:r>
      <w:hyperlink r:id="rId4" w:tooltip="link naar publicatie kst-24515-677" w:history="1">
        <w:r w:rsidRPr="00773A21">
          <w:rPr>
            <w:rStyle w:val="Hyperlink"/>
            <w:rFonts w:eastAsiaTheme="majorEastAsia" w:cs="Arial"/>
            <w:color w:val="154273"/>
            <w:sz w:val="18"/>
            <w:szCs w:val="18"/>
            <w:shd w:val="clear" w:color="auto" w:fill="FFFFFF"/>
          </w:rPr>
          <w:t>24 515, nr. 677</w:t>
        </w:r>
      </w:hyperlink>
      <w:r w:rsidRPr="00773A21">
        <w:rPr>
          <w:rFonts w:cs="Arial"/>
          <w:color w:val="154273"/>
          <w:sz w:val="18"/>
          <w:szCs w:val="18"/>
          <w:shd w:val="clear" w:color="auto" w:fill="FFFFFF"/>
        </w:rPr>
        <w:t>.</w:t>
      </w:r>
    </w:p>
  </w:footnote>
  <w:footnote w:id="5">
    <w:p w14:paraId="558A558E" w14:textId="77777777" w:rsidR="00796DBC" w:rsidRPr="00773A21" w:rsidRDefault="00796DBC" w:rsidP="00796DBC">
      <w:pPr>
        <w:pStyle w:val="Voetnoottekst"/>
        <w:rPr>
          <w:sz w:val="18"/>
          <w:szCs w:val="18"/>
        </w:rPr>
      </w:pPr>
      <w:r>
        <w:rPr>
          <w:rStyle w:val="Voetnootmarkering"/>
        </w:rPr>
        <w:footnoteRef/>
      </w:r>
      <w:r w:rsidRPr="00773A21">
        <w:rPr>
          <w:sz w:val="18"/>
          <w:szCs w:val="18"/>
        </w:rPr>
        <w:t xml:space="preserve"> </w:t>
      </w:r>
      <w:r w:rsidRPr="00773A21">
        <w:rPr>
          <w:rFonts w:cs="Arial"/>
          <w:sz w:val="18"/>
          <w:szCs w:val="18"/>
          <w:shd w:val="clear" w:color="auto" w:fill="FFFFFF"/>
        </w:rPr>
        <w:t>Zie Kamerstukken II, 2022/23, </w:t>
      </w:r>
      <w:hyperlink r:id="rId5" w:tooltip="link naar publicatie kst-24515-696" w:history="1">
        <w:r w:rsidRPr="00773A21">
          <w:rPr>
            <w:rStyle w:val="Hyperlink"/>
            <w:rFonts w:eastAsiaTheme="majorEastAsia" w:cs="Arial"/>
            <w:color w:val="154273"/>
            <w:sz w:val="18"/>
            <w:szCs w:val="18"/>
            <w:shd w:val="clear" w:color="auto" w:fill="FFFFFF"/>
          </w:rPr>
          <w:t>24 515, nr. 696</w:t>
        </w:r>
      </w:hyperlink>
      <w:r w:rsidRPr="00773A21">
        <w:rPr>
          <w:rFonts w:cs="Arial"/>
          <w:sz w:val="18"/>
          <w:szCs w:val="18"/>
          <w:shd w:val="clear" w:color="auto" w:fill="FFFFFF"/>
        </w:rPr>
        <w:t>, respectievelijk Kamerstukken II, 2022/23, </w:t>
      </w:r>
      <w:hyperlink r:id="rId6" w:tooltip="link naar publicatie kst-35915-31" w:history="1">
        <w:r w:rsidRPr="00773A21">
          <w:rPr>
            <w:rStyle w:val="Hyperlink"/>
            <w:rFonts w:eastAsiaTheme="majorEastAsia" w:cs="Arial"/>
            <w:color w:val="154273"/>
            <w:sz w:val="18"/>
            <w:szCs w:val="18"/>
            <w:shd w:val="clear" w:color="auto" w:fill="FFFFFF"/>
          </w:rPr>
          <w:t>35 915, nr. 31</w:t>
        </w:r>
      </w:hyperlink>
      <w:r w:rsidRPr="00773A21">
        <w:rPr>
          <w:rFonts w:cs="Arial"/>
          <w:color w:val="154273"/>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7FD" w14:textId="77777777" w:rsidR="002D2D21" w:rsidRDefault="002D2D21"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A2F" w14:textId="77777777" w:rsidR="002D2D21" w:rsidRDefault="002D2D21" w:rsidP="00590D35">
    <w:pPr>
      <w:spacing w:after="1560"/>
    </w:pPr>
    <w:r w:rsidRPr="002E3B9D">
      <w:rPr>
        <w:noProof/>
      </w:rPr>
      <w:drawing>
        <wp:anchor distT="0" distB="0" distL="114300" distR="114300" simplePos="0" relativeHeight="251672575" behindDoc="1" locked="0" layoutInCell="0" allowOverlap="1" wp14:anchorId="67337D9F" wp14:editId="3D67358C">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0841732"/>
    <w:multiLevelType w:val="multilevel"/>
    <w:tmpl w:val="3E8497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5"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6"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0"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2"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0884908">
    <w:abstractNumId w:val="2"/>
  </w:num>
  <w:num w:numId="2" w16cid:durableId="1531338768">
    <w:abstractNumId w:val="2"/>
    <w:lvlOverride w:ilvl="0">
      <w:startOverride w:val="1"/>
    </w:lvlOverride>
  </w:num>
  <w:num w:numId="3" w16cid:durableId="1166162975">
    <w:abstractNumId w:val="2"/>
    <w:lvlOverride w:ilvl="0">
      <w:startOverride w:val="1"/>
    </w:lvlOverride>
  </w:num>
  <w:num w:numId="4" w16cid:durableId="1316881385">
    <w:abstractNumId w:val="2"/>
    <w:lvlOverride w:ilvl="0">
      <w:startOverride w:val="1"/>
    </w:lvlOverride>
  </w:num>
  <w:num w:numId="5" w16cid:durableId="514075583">
    <w:abstractNumId w:val="2"/>
    <w:lvlOverride w:ilvl="0">
      <w:startOverride w:val="1"/>
    </w:lvlOverride>
  </w:num>
  <w:num w:numId="6" w16cid:durableId="1575318393">
    <w:abstractNumId w:val="18"/>
  </w:num>
  <w:num w:numId="7" w16cid:durableId="318462997">
    <w:abstractNumId w:val="15"/>
  </w:num>
  <w:num w:numId="8" w16cid:durableId="549728879">
    <w:abstractNumId w:val="24"/>
  </w:num>
  <w:num w:numId="9" w16cid:durableId="272834714">
    <w:abstractNumId w:val="26"/>
  </w:num>
  <w:num w:numId="10" w16cid:durableId="333148415">
    <w:abstractNumId w:val="6"/>
  </w:num>
  <w:num w:numId="11" w16cid:durableId="1434134804">
    <w:abstractNumId w:val="19"/>
  </w:num>
  <w:num w:numId="12" w16cid:durableId="1567111711">
    <w:abstractNumId w:val="14"/>
  </w:num>
  <w:num w:numId="13" w16cid:durableId="842358573">
    <w:abstractNumId w:val="25"/>
  </w:num>
  <w:num w:numId="14" w16cid:durableId="961764548">
    <w:abstractNumId w:val="13"/>
  </w:num>
  <w:num w:numId="15" w16cid:durableId="1794979952">
    <w:abstractNumId w:val="16"/>
  </w:num>
  <w:num w:numId="16" w16cid:durableId="1074007696">
    <w:abstractNumId w:val="20"/>
  </w:num>
  <w:num w:numId="17" w16cid:durableId="160897809">
    <w:abstractNumId w:val="12"/>
  </w:num>
  <w:num w:numId="18" w16cid:durableId="146628747">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337928983">
    <w:abstractNumId w:val="1"/>
  </w:num>
  <w:num w:numId="20" w16cid:durableId="1543593709">
    <w:abstractNumId w:val="1"/>
  </w:num>
  <w:num w:numId="21" w16cid:durableId="19472533">
    <w:abstractNumId w:val="0"/>
  </w:num>
  <w:num w:numId="22" w16cid:durableId="29376455">
    <w:abstractNumId w:val="0"/>
  </w:num>
  <w:num w:numId="23" w16cid:durableId="1749496304">
    <w:abstractNumId w:val="1"/>
  </w:num>
  <w:num w:numId="24" w16cid:durableId="1207991176">
    <w:abstractNumId w:val="19"/>
  </w:num>
  <w:num w:numId="25" w16cid:durableId="1997612857">
    <w:abstractNumId w:val="19"/>
  </w:num>
  <w:num w:numId="26" w16cid:durableId="510873900">
    <w:abstractNumId w:val="4"/>
  </w:num>
  <w:num w:numId="27" w16cid:durableId="1537963007">
    <w:abstractNumId w:val="4"/>
  </w:num>
  <w:num w:numId="28" w16cid:durableId="1842813336">
    <w:abstractNumId w:val="27"/>
  </w:num>
  <w:num w:numId="29" w16cid:durableId="889262969">
    <w:abstractNumId w:val="13"/>
  </w:num>
  <w:num w:numId="30" w16cid:durableId="461077492">
    <w:abstractNumId w:val="5"/>
  </w:num>
  <w:num w:numId="31" w16cid:durableId="2007200176">
    <w:abstractNumId w:val="21"/>
  </w:num>
  <w:num w:numId="32" w16cid:durableId="2037729552">
    <w:abstractNumId w:val="10"/>
  </w:num>
  <w:num w:numId="33" w16cid:durableId="1543789161">
    <w:abstractNumId w:val="22"/>
  </w:num>
  <w:num w:numId="34" w16cid:durableId="1613706905">
    <w:abstractNumId w:val="7"/>
  </w:num>
  <w:num w:numId="35" w16cid:durableId="1786999320">
    <w:abstractNumId w:val="11"/>
  </w:num>
  <w:num w:numId="36" w16cid:durableId="716391786">
    <w:abstractNumId w:val="23"/>
  </w:num>
  <w:num w:numId="37" w16cid:durableId="1658610886">
    <w:abstractNumId w:val="8"/>
  </w:num>
  <w:num w:numId="38" w16cid:durableId="1223718301">
    <w:abstractNumId w:val="3"/>
  </w:num>
  <w:num w:numId="39" w16cid:durableId="20934982">
    <w:abstractNumId w:val="11"/>
  </w:num>
  <w:num w:numId="40" w16cid:durableId="395472520">
    <w:abstractNumId w:val="23"/>
  </w:num>
  <w:num w:numId="41" w16cid:durableId="383873868">
    <w:abstractNumId w:val="8"/>
  </w:num>
  <w:num w:numId="42" w16cid:durableId="1162696365">
    <w:abstractNumId w:val="3"/>
  </w:num>
  <w:num w:numId="43" w16cid:durableId="524486002">
    <w:abstractNumId w:val="11"/>
  </w:num>
  <w:num w:numId="44" w16cid:durableId="1969319532">
    <w:abstractNumId w:val="23"/>
  </w:num>
  <w:num w:numId="45" w16cid:durableId="909534025">
    <w:abstractNumId w:val="8"/>
  </w:num>
  <w:num w:numId="46" w16cid:durableId="2026128011">
    <w:abstractNumId w:val="3"/>
  </w:num>
  <w:num w:numId="47" w16cid:durableId="1071928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9"/>
    <w:rsid w:val="00012AFA"/>
    <w:rsid w:val="00017C57"/>
    <w:rsid w:val="00020B64"/>
    <w:rsid w:val="000417A1"/>
    <w:rsid w:val="000418E5"/>
    <w:rsid w:val="00042049"/>
    <w:rsid w:val="000506F8"/>
    <w:rsid w:val="00050743"/>
    <w:rsid w:val="00055A4B"/>
    <w:rsid w:val="00070796"/>
    <w:rsid w:val="00071277"/>
    <w:rsid w:val="000742B5"/>
    <w:rsid w:val="00084CB9"/>
    <w:rsid w:val="00086595"/>
    <w:rsid w:val="000962BB"/>
    <w:rsid w:val="000A666C"/>
    <w:rsid w:val="000B0118"/>
    <w:rsid w:val="000B61B9"/>
    <w:rsid w:val="000C1735"/>
    <w:rsid w:val="000C4290"/>
    <w:rsid w:val="000C4950"/>
    <w:rsid w:val="000C512C"/>
    <w:rsid w:val="000C6A9E"/>
    <w:rsid w:val="000D03A5"/>
    <w:rsid w:val="000D226C"/>
    <w:rsid w:val="000D28DD"/>
    <w:rsid w:val="000D4574"/>
    <w:rsid w:val="000E1DBB"/>
    <w:rsid w:val="000F33B3"/>
    <w:rsid w:val="000F6F4F"/>
    <w:rsid w:val="00100CBD"/>
    <w:rsid w:val="00100D7A"/>
    <w:rsid w:val="00107488"/>
    <w:rsid w:val="00111E05"/>
    <w:rsid w:val="0011248A"/>
    <w:rsid w:val="00115283"/>
    <w:rsid w:val="001210B4"/>
    <w:rsid w:val="00124EA9"/>
    <w:rsid w:val="00125358"/>
    <w:rsid w:val="001410A5"/>
    <w:rsid w:val="00143A9C"/>
    <w:rsid w:val="0014684E"/>
    <w:rsid w:val="00146B36"/>
    <w:rsid w:val="00157846"/>
    <w:rsid w:val="00165095"/>
    <w:rsid w:val="00177046"/>
    <w:rsid w:val="00185A52"/>
    <w:rsid w:val="001A439E"/>
    <w:rsid w:val="001A55EA"/>
    <w:rsid w:val="001A63A1"/>
    <w:rsid w:val="001B1512"/>
    <w:rsid w:val="001C3F17"/>
    <w:rsid w:val="001C50FC"/>
    <w:rsid w:val="001D49B8"/>
    <w:rsid w:val="001E1229"/>
    <w:rsid w:val="001E30DD"/>
    <w:rsid w:val="001E3ADB"/>
    <w:rsid w:val="001F3BFB"/>
    <w:rsid w:val="00201EAF"/>
    <w:rsid w:val="0020379C"/>
    <w:rsid w:val="00203C3D"/>
    <w:rsid w:val="00204B4B"/>
    <w:rsid w:val="002058C6"/>
    <w:rsid w:val="0021160C"/>
    <w:rsid w:val="00216D16"/>
    <w:rsid w:val="00217C55"/>
    <w:rsid w:val="002201A8"/>
    <w:rsid w:val="00230046"/>
    <w:rsid w:val="002348FC"/>
    <w:rsid w:val="0023513C"/>
    <w:rsid w:val="00237D84"/>
    <w:rsid w:val="0024071A"/>
    <w:rsid w:val="00241172"/>
    <w:rsid w:val="002430BF"/>
    <w:rsid w:val="00253EA6"/>
    <w:rsid w:val="0025593B"/>
    <w:rsid w:val="00256AE9"/>
    <w:rsid w:val="002604D3"/>
    <w:rsid w:val="002626E0"/>
    <w:rsid w:val="00267B36"/>
    <w:rsid w:val="00274A16"/>
    <w:rsid w:val="002852A6"/>
    <w:rsid w:val="002A6CA8"/>
    <w:rsid w:val="002C36B2"/>
    <w:rsid w:val="002C62F2"/>
    <w:rsid w:val="002D1047"/>
    <w:rsid w:val="002D2D21"/>
    <w:rsid w:val="002E3B9D"/>
    <w:rsid w:val="002E4754"/>
    <w:rsid w:val="002E63C0"/>
    <w:rsid w:val="002F03F0"/>
    <w:rsid w:val="002F31FE"/>
    <w:rsid w:val="002F37AB"/>
    <w:rsid w:val="002F705E"/>
    <w:rsid w:val="0030283D"/>
    <w:rsid w:val="00326248"/>
    <w:rsid w:val="0032693D"/>
    <w:rsid w:val="00336067"/>
    <w:rsid w:val="00341C4D"/>
    <w:rsid w:val="00344F71"/>
    <w:rsid w:val="00356060"/>
    <w:rsid w:val="003620C7"/>
    <w:rsid w:val="0036240A"/>
    <w:rsid w:val="00363BCC"/>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982"/>
    <w:rsid w:val="003F2F2F"/>
    <w:rsid w:val="003F3BB9"/>
    <w:rsid w:val="003F6353"/>
    <w:rsid w:val="003F6C28"/>
    <w:rsid w:val="00400CFC"/>
    <w:rsid w:val="00433ED1"/>
    <w:rsid w:val="004408E4"/>
    <w:rsid w:val="004414AB"/>
    <w:rsid w:val="004614A0"/>
    <w:rsid w:val="00466BDA"/>
    <w:rsid w:val="0047021E"/>
    <w:rsid w:val="004776AB"/>
    <w:rsid w:val="0048375D"/>
    <w:rsid w:val="00486ED2"/>
    <w:rsid w:val="00495B36"/>
    <w:rsid w:val="00497ABB"/>
    <w:rsid w:val="004A18A2"/>
    <w:rsid w:val="004A23EA"/>
    <w:rsid w:val="004A544C"/>
    <w:rsid w:val="004C36DA"/>
    <w:rsid w:val="004C5C32"/>
    <w:rsid w:val="004D0BB2"/>
    <w:rsid w:val="004D1698"/>
    <w:rsid w:val="004D4D2F"/>
    <w:rsid w:val="004D719D"/>
    <w:rsid w:val="004D7CC9"/>
    <w:rsid w:val="004F0C98"/>
    <w:rsid w:val="0052111F"/>
    <w:rsid w:val="005403F7"/>
    <w:rsid w:val="005501D5"/>
    <w:rsid w:val="00551149"/>
    <w:rsid w:val="005565F0"/>
    <w:rsid w:val="00567ED4"/>
    <w:rsid w:val="00573D63"/>
    <w:rsid w:val="00575E30"/>
    <w:rsid w:val="00583601"/>
    <w:rsid w:val="00590D35"/>
    <w:rsid w:val="005A1F0C"/>
    <w:rsid w:val="005A5B07"/>
    <w:rsid w:val="005A5E34"/>
    <w:rsid w:val="005B2D93"/>
    <w:rsid w:val="005B2F3D"/>
    <w:rsid w:val="005B4AB2"/>
    <w:rsid w:val="005B575D"/>
    <w:rsid w:val="005C16B5"/>
    <w:rsid w:val="005C2A6E"/>
    <w:rsid w:val="005D4466"/>
    <w:rsid w:val="005D6CEC"/>
    <w:rsid w:val="005D701C"/>
    <w:rsid w:val="005E6568"/>
    <w:rsid w:val="005F3676"/>
    <w:rsid w:val="00605775"/>
    <w:rsid w:val="00607447"/>
    <w:rsid w:val="00607FEA"/>
    <w:rsid w:val="006141A2"/>
    <w:rsid w:val="00617006"/>
    <w:rsid w:val="00624E7D"/>
    <w:rsid w:val="00630F1E"/>
    <w:rsid w:val="00633E87"/>
    <w:rsid w:val="00635467"/>
    <w:rsid w:val="00635F37"/>
    <w:rsid w:val="006413D9"/>
    <w:rsid w:val="00654FEE"/>
    <w:rsid w:val="00660585"/>
    <w:rsid w:val="006714B0"/>
    <w:rsid w:val="00686433"/>
    <w:rsid w:val="00686F19"/>
    <w:rsid w:val="00692641"/>
    <w:rsid w:val="00696512"/>
    <w:rsid w:val="006A201C"/>
    <w:rsid w:val="006A568B"/>
    <w:rsid w:val="006B1AB8"/>
    <w:rsid w:val="006C1F71"/>
    <w:rsid w:val="006D3956"/>
    <w:rsid w:val="006D57EE"/>
    <w:rsid w:val="006E61D5"/>
    <w:rsid w:val="006F1995"/>
    <w:rsid w:val="006F314E"/>
    <w:rsid w:val="006F6495"/>
    <w:rsid w:val="00711AFC"/>
    <w:rsid w:val="00712545"/>
    <w:rsid w:val="00722306"/>
    <w:rsid w:val="00723D53"/>
    <w:rsid w:val="007306EF"/>
    <w:rsid w:val="007521B0"/>
    <w:rsid w:val="00763982"/>
    <w:rsid w:val="00770F2B"/>
    <w:rsid w:val="00772B63"/>
    <w:rsid w:val="00776557"/>
    <w:rsid w:val="00782535"/>
    <w:rsid w:val="00782E8B"/>
    <w:rsid w:val="00790B6A"/>
    <w:rsid w:val="00796DBC"/>
    <w:rsid w:val="007A01F4"/>
    <w:rsid w:val="007A6F75"/>
    <w:rsid w:val="007B0DFF"/>
    <w:rsid w:val="007B1C27"/>
    <w:rsid w:val="007B460C"/>
    <w:rsid w:val="007C626D"/>
    <w:rsid w:val="007D3219"/>
    <w:rsid w:val="007D6D1D"/>
    <w:rsid w:val="007D78B2"/>
    <w:rsid w:val="007E0158"/>
    <w:rsid w:val="007E33FB"/>
    <w:rsid w:val="007E5D23"/>
    <w:rsid w:val="007E72C2"/>
    <w:rsid w:val="007F1C81"/>
    <w:rsid w:val="007F1E61"/>
    <w:rsid w:val="00805ABD"/>
    <w:rsid w:val="00806364"/>
    <w:rsid w:val="00814352"/>
    <w:rsid w:val="00815D83"/>
    <w:rsid w:val="00817A7C"/>
    <w:rsid w:val="008216CB"/>
    <w:rsid w:val="00824BE6"/>
    <w:rsid w:val="00827465"/>
    <w:rsid w:val="00827E6B"/>
    <w:rsid w:val="00832390"/>
    <w:rsid w:val="008329D6"/>
    <w:rsid w:val="00834C88"/>
    <w:rsid w:val="00837A0C"/>
    <w:rsid w:val="00840509"/>
    <w:rsid w:val="00844DE0"/>
    <w:rsid w:val="0085125D"/>
    <w:rsid w:val="008526B5"/>
    <w:rsid w:val="008541CC"/>
    <w:rsid w:val="0085520F"/>
    <w:rsid w:val="00857FCB"/>
    <w:rsid w:val="008666D6"/>
    <w:rsid w:val="00871AA0"/>
    <w:rsid w:val="00872931"/>
    <w:rsid w:val="008756BB"/>
    <w:rsid w:val="00880897"/>
    <w:rsid w:val="00890DA6"/>
    <w:rsid w:val="00896E2F"/>
    <w:rsid w:val="008B2F84"/>
    <w:rsid w:val="008B526C"/>
    <w:rsid w:val="008B5C37"/>
    <w:rsid w:val="008C0E36"/>
    <w:rsid w:val="008C1026"/>
    <w:rsid w:val="008C1EF9"/>
    <w:rsid w:val="008C1FE5"/>
    <w:rsid w:val="008C52EB"/>
    <w:rsid w:val="008C5CE3"/>
    <w:rsid w:val="008C636B"/>
    <w:rsid w:val="008E56CB"/>
    <w:rsid w:val="008E6757"/>
    <w:rsid w:val="008F05C0"/>
    <w:rsid w:val="008F78A6"/>
    <w:rsid w:val="00901A4F"/>
    <w:rsid w:val="00901B2E"/>
    <w:rsid w:val="00912B99"/>
    <w:rsid w:val="00920638"/>
    <w:rsid w:val="00923268"/>
    <w:rsid w:val="00925DB4"/>
    <w:rsid w:val="009319F4"/>
    <w:rsid w:val="00940043"/>
    <w:rsid w:val="00960C5B"/>
    <w:rsid w:val="0096585C"/>
    <w:rsid w:val="00971A1A"/>
    <w:rsid w:val="009731BB"/>
    <w:rsid w:val="00977C07"/>
    <w:rsid w:val="00984FD7"/>
    <w:rsid w:val="00985BED"/>
    <w:rsid w:val="009925E2"/>
    <w:rsid w:val="009A1772"/>
    <w:rsid w:val="009A4BE1"/>
    <w:rsid w:val="009A664B"/>
    <w:rsid w:val="009A7030"/>
    <w:rsid w:val="009B2AF4"/>
    <w:rsid w:val="009C00E0"/>
    <w:rsid w:val="009C29D4"/>
    <w:rsid w:val="009C2C04"/>
    <w:rsid w:val="009C2E52"/>
    <w:rsid w:val="009D1E62"/>
    <w:rsid w:val="009D2226"/>
    <w:rsid w:val="009F0A61"/>
    <w:rsid w:val="00A01B33"/>
    <w:rsid w:val="00A07FC5"/>
    <w:rsid w:val="00A10A0A"/>
    <w:rsid w:val="00A11B66"/>
    <w:rsid w:val="00A15DB2"/>
    <w:rsid w:val="00A311AF"/>
    <w:rsid w:val="00A33847"/>
    <w:rsid w:val="00A3584D"/>
    <w:rsid w:val="00A43CED"/>
    <w:rsid w:val="00A50654"/>
    <w:rsid w:val="00A515BB"/>
    <w:rsid w:val="00A6248C"/>
    <w:rsid w:val="00A7018D"/>
    <w:rsid w:val="00A70928"/>
    <w:rsid w:val="00A8107D"/>
    <w:rsid w:val="00A8532A"/>
    <w:rsid w:val="00A85DD7"/>
    <w:rsid w:val="00A91DA5"/>
    <w:rsid w:val="00A958BD"/>
    <w:rsid w:val="00AA7354"/>
    <w:rsid w:val="00AB1016"/>
    <w:rsid w:val="00AC0E57"/>
    <w:rsid w:val="00AC5050"/>
    <w:rsid w:val="00AC5BBF"/>
    <w:rsid w:val="00AC6737"/>
    <w:rsid w:val="00AC69C4"/>
    <w:rsid w:val="00AD0B28"/>
    <w:rsid w:val="00AE0781"/>
    <w:rsid w:val="00AE39C1"/>
    <w:rsid w:val="00AE6307"/>
    <w:rsid w:val="00AF4876"/>
    <w:rsid w:val="00B00B7C"/>
    <w:rsid w:val="00B21FAC"/>
    <w:rsid w:val="00B2486E"/>
    <w:rsid w:val="00B33172"/>
    <w:rsid w:val="00B37A68"/>
    <w:rsid w:val="00B41E19"/>
    <w:rsid w:val="00B43003"/>
    <w:rsid w:val="00B465E3"/>
    <w:rsid w:val="00B473FA"/>
    <w:rsid w:val="00B5407E"/>
    <w:rsid w:val="00B576CA"/>
    <w:rsid w:val="00B718F7"/>
    <w:rsid w:val="00B823B1"/>
    <w:rsid w:val="00B85260"/>
    <w:rsid w:val="00B86557"/>
    <w:rsid w:val="00B90E6A"/>
    <w:rsid w:val="00B93830"/>
    <w:rsid w:val="00B95931"/>
    <w:rsid w:val="00BA67D3"/>
    <w:rsid w:val="00BB20FF"/>
    <w:rsid w:val="00BC1CB7"/>
    <w:rsid w:val="00BE2D57"/>
    <w:rsid w:val="00BE4649"/>
    <w:rsid w:val="00BE4715"/>
    <w:rsid w:val="00BE4DCE"/>
    <w:rsid w:val="00BF52B3"/>
    <w:rsid w:val="00C22599"/>
    <w:rsid w:val="00C36671"/>
    <w:rsid w:val="00C36B2C"/>
    <w:rsid w:val="00C40464"/>
    <w:rsid w:val="00C45E4B"/>
    <w:rsid w:val="00C52713"/>
    <w:rsid w:val="00C57444"/>
    <w:rsid w:val="00C6694F"/>
    <w:rsid w:val="00C85A27"/>
    <w:rsid w:val="00C92B60"/>
    <w:rsid w:val="00CA1B56"/>
    <w:rsid w:val="00CA56D4"/>
    <w:rsid w:val="00CB0148"/>
    <w:rsid w:val="00CB6E70"/>
    <w:rsid w:val="00CC101E"/>
    <w:rsid w:val="00CD11BE"/>
    <w:rsid w:val="00CD1354"/>
    <w:rsid w:val="00CE1EE7"/>
    <w:rsid w:val="00CE46AF"/>
    <w:rsid w:val="00D01C2E"/>
    <w:rsid w:val="00D06B6E"/>
    <w:rsid w:val="00D11880"/>
    <w:rsid w:val="00D3317B"/>
    <w:rsid w:val="00D33AD8"/>
    <w:rsid w:val="00D364BD"/>
    <w:rsid w:val="00D45398"/>
    <w:rsid w:val="00D51E9D"/>
    <w:rsid w:val="00D60489"/>
    <w:rsid w:val="00D66E71"/>
    <w:rsid w:val="00D80BFC"/>
    <w:rsid w:val="00D85FC5"/>
    <w:rsid w:val="00D872D2"/>
    <w:rsid w:val="00D87DAC"/>
    <w:rsid w:val="00DA0F7C"/>
    <w:rsid w:val="00DA3B54"/>
    <w:rsid w:val="00DA6F0C"/>
    <w:rsid w:val="00DB2BE7"/>
    <w:rsid w:val="00DB6A81"/>
    <w:rsid w:val="00DE0766"/>
    <w:rsid w:val="00DF08F9"/>
    <w:rsid w:val="00E12AF3"/>
    <w:rsid w:val="00E13E67"/>
    <w:rsid w:val="00E225C1"/>
    <w:rsid w:val="00E238E8"/>
    <w:rsid w:val="00E24E69"/>
    <w:rsid w:val="00E412E4"/>
    <w:rsid w:val="00E56A12"/>
    <w:rsid w:val="00E57FE9"/>
    <w:rsid w:val="00E640B4"/>
    <w:rsid w:val="00E70940"/>
    <w:rsid w:val="00E73753"/>
    <w:rsid w:val="00E7442E"/>
    <w:rsid w:val="00E87A6D"/>
    <w:rsid w:val="00EB0D74"/>
    <w:rsid w:val="00EB1243"/>
    <w:rsid w:val="00EB3371"/>
    <w:rsid w:val="00EB40BA"/>
    <w:rsid w:val="00EB61DA"/>
    <w:rsid w:val="00EC5CDB"/>
    <w:rsid w:val="00ED57C7"/>
    <w:rsid w:val="00ED6BD8"/>
    <w:rsid w:val="00ED77A3"/>
    <w:rsid w:val="00EE51ED"/>
    <w:rsid w:val="00EE56C5"/>
    <w:rsid w:val="00EE6875"/>
    <w:rsid w:val="00EE7AD9"/>
    <w:rsid w:val="00F02E4B"/>
    <w:rsid w:val="00F07ACE"/>
    <w:rsid w:val="00F12B2F"/>
    <w:rsid w:val="00F20E52"/>
    <w:rsid w:val="00F33390"/>
    <w:rsid w:val="00F41A21"/>
    <w:rsid w:val="00F42D22"/>
    <w:rsid w:val="00F431A3"/>
    <w:rsid w:val="00F46133"/>
    <w:rsid w:val="00F4696A"/>
    <w:rsid w:val="00F47F59"/>
    <w:rsid w:val="00F554BE"/>
    <w:rsid w:val="00F62A08"/>
    <w:rsid w:val="00F633D6"/>
    <w:rsid w:val="00F7114C"/>
    <w:rsid w:val="00F71926"/>
    <w:rsid w:val="00F71B14"/>
    <w:rsid w:val="00F8489E"/>
    <w:rsid w:val="00FA2053"/>
    <w:rsid w:val="00FA2DA8"/>
    <w:rsid w:val="00FA3B97"/>
    <w:rsid w:val="00FB0CB0"/>
    <w:rsid w:val="00FB64F7"/>
    <w:rsid w:val="00FC63F0"/>
    <w:rsid w:val="00FD2DAF"/>
    <w:rsid w:val="00FD7A82"/>
    <w:rsid w:val="00FE5436"/>
    <w:rsid w:val="00FF56B5"/>
    <w:rsid w:val="00FF5B2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2DEE20F"/>
  <w15:docId w15:val="{8C29A11C-DCAE-4DBE-99E2-136FFD03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VNGtabelmiddenblauw1">
    <w:name w:val="VNG tabel midden blauw1"/>
    <w:basedOn w:val="VNGtabelgroen"/>
    <w:uiPriority w:val="99"/>
    <w:rsid w:val="00F47F59"/>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styleId="Verwijzingopmerking">
    <w:name w:val="annotation reference"/>
    <w:basedOn w:val="Standaardalinea-lettertype"/>
    <w:uiPriority w:val="99"/>
    <w:semiHidden/>
    <w:unhideWhenUsed/>
    <w:rsid w:val="009C29D4"/>
    <w:rPr>
      <w:sz w:val="16"/>
      <w:szCs w:val="16"/>
    </w:rPr>
  </w:style>
  <w:style w:type="paragraph" w:styleId="Tekstopmerking">
    <w:name w:val="annotation text"/>
    <w:basedOn w:val="Standaard"/>
    <w:link w:val="TekstopmerkingChar"/>
    <w:uiPriority w:val="99"/>
    <w:semiHidden/>
    <w:unhideWhenUsed/>
    <w:rsid w:val="009C29D4"/>
    <w:pPr>
      <w:spacing w:line="240" w:lineRule="auto"/>
    </w:pPr>
    <w:rPr>
      <w:rFonts w:ascii="Calibri" w:hAnsi="Calibri"/>
    </w:rPr>
  </w:style>
  <w:style w:type="character" w:customStyle="1" w:styleId="TekstopmerkingChar">
    <w:name w:val="Tekst opmerking Char"/>
    <w:basedOn w:val="Standaardalinea-lettertype"/>
    <w:link w:val="Tekstopmerking"/>
    <w:uiPriority w:val="99"/>
    <w:semiHidden/>
    <w:rsid w:val="009C29D4"/>
    <w:rPr>
      <w:rFonts w:ascii="Calibri" w:hAnsi="Calibri"/>
    </w:rPr>
  </w:style>
  <w:style w:type="character" w:styleId="Nadruk">
    <w:name w:val="Emphasis"/>
    <w:basedOn w:val="Standaardalinea-lettertype"/>
    <w:uiPriority w:val="20"/>
    <w:qFormat/>
    <w:rsid w:val="00D80BFC"/>
    <w:rPr>
      <w:i/>
      <w:iCs/>
    </w:rPr>
  </w:style>
  <w:style w:type="character" w:customStyle="1" w:styleId="ol">
    <w:name w:val="ol"/>
    <w:basedOn w:val="Standaardalinea-lettertype"/>
    <w:rsid w:val="00E7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3118">
      <w:bodyDiv w:val="1"/>
      <w:marLeft w:val="0"/>
      <w:marRight w:val="0"/>
      <w:marTop w:val="0"/>
      <w:marBottom w:val="0"/>
      <w:divBdr>
        <w:top w:val="none" w:sz="0" w:space="0" w:color="auto"/>
        <w:left w:val="none" w:sz="0" w:space="0" w:color="auto"/>
        <w:bottom w:val="none" w:sz="0" w:space="0" w:color="auto"/>
        <w:right w:val="none" w:sz="0" w:space="0" w:color="auto"/>
      </w:divBdr>
    </w:div>
    <w:div w:id="768159972">
      <w:bodyDiv w:val="1"/>
      <w:marLeft w:val="0"/>
      <w:marRight w:val="0"/>
      <w:marTop w:val="0"/>
      <w:marBottom w:val="0"/>
      <w:divBdr>
        <w:top w:val="none" w:sz="0" w:space="0" w:color="auto"/>
        <w:left w:val="none" w:sz="0" w:space="0" w:color="auto"/>
        <w:bottom w:val="none" w:sz="0" w:space="0" w:color="auto"/>
        <w:right w:val="none" w:sz="0" w:space="0" w:color="auto"/>
      </w:divBdr>
    </w:div>
    <w:div w:id="19278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erstekamer.nl/id/vm0ewj8g1au6/verslagdeel/stemming_hamerstuk" TargetMode="External"/><Relationship Id="rId2" Type="http://schemas.openxmlformats.org/officeDocument/2006/relationships/hyperlink" Target="https://www.officielebekendmakingen.nl/stb-2023-87.html" TargetMode="External"/><Relationship Id="rId1" Type="http://schemas.openxmlformats.org/officeDocument/2006/relationships/hyperlink" Target="https://www.officielebekendmakingen.nl/stb-2022-530.html" TargetMode="External"/><Relationship Id="rId6" Type="http://schemas.openxmlformats.org/officeDocument/2006/relationships/hyperlink" Target="https://www.officielebekendmakingen.nl/kst-35915-31.html" TargetMode="External"/><Relationship Id="rId5" Type="http://schemas.openxmlformats.org/officeDocument/2006/relationships/hyperlink" Target="https://www.officielebekendmakingen.nl/kst-24515-696.html" TargetMode="External"/><Relationship Id="rId4" Type="http://schemas.openxmlformats.org/officeDocument/2006/relationships/hyperlink" Target="https://www.officielebekendmakingen.nl/kst-24515-67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4d52e53dbc9121639562018862271205">
  <xsd:schema xmlns:xsd="http://www.w3.org/2001/XMLSchema" xmlns:xs="http://www.w3.org/2001/XMLSchema" xmlns:p="http://schemas.microsoft.com/office/2006/metadata/properties" xmlns:ns2="87dfae08-d86b-47c6-976a-3de4263cac44" targetNamespace="http://schemas.microsoft.com/office/2006/metadata/properties" ma:root="true" ma:fieldsID="06efb52812801c3486d13d7bc823a438"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6A54-585A-4B29-8DEB-E81E642C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A7BB6-B3CC-41E4-B019-1D31AF1E8865}">
  <ds:schemaRefs>
    <ds:schemaRef ds:uri="http://schemas.microsoft.com/office/2006/documentManagement/types"/>
    <ds:schemaRef ds:uri="http://schemas.microsoft.com/office/2006/metadata/properties"/>
    <ds:schemaRef ds:uri="87dfae08-d86b-47c6-976a-3de4263cac44"/>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E10A403-F4A8-4B2E-B0FD-C7E6D47756AB}">
  <ds:schemaRefs>
    <ds:schemaRef ds:uri="http://schemas.microsoft.com/sharepoint/v3/contenttype/forms"/>
  </ds:schemaRefs>
</ds:datastoreItem>
</file>

<file path=customXml/itemProps4.xml><?xml version="1.0" encoding="utf-8"?>
<ds:datastoreItem xmlns:ds="http://schemas.openxmlformats.org/officeDocument/2006/customXml" ds:itemID="{9324FFDC-940D-4207-89E5-E0C7CFFE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Template>
  <TotalTime>127</TotalTime>
  <Pages>7</Pages>
  <Words>3541</Words>
  <Characters>21237</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24729</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Rosalie van Heijst</dc:creator>
  <cp:lastModifiedBy>Marlies van Randwijk</cp:lastModifiedBy>
  <cp:revision>7</cp:revision>
  <cp:lastPrinted>2016-12-22T18:38:00Z</cp:lastPrinted>
  <dcterms:created xsi:type="dcterms:W3CDTF">2023-06-28T09:52:00Z</dcterms:created>
  <dcterms:modified xsi:type="dcterms:W3CDTF">2023-07-05T14:14:00Z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TaxKeyword">
    <vt:lpwstr/>
  </property>
  <property fmtid="{D5CDD505-2E9C-101B-9397-08002B2CF9AE}" pid="4" name="_dlc_DocIdItemGuid">
    <vt:lpwstr>bd70769a-e0f2-42ab-83a0-a675d089cdd6</vt:lpwstr>
  </property>
</Properties>
</file>