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286" w:rsidRDefault="009926B0">
      <w:pPr>
        <w:spacing w:after="421" w:line="265" w:lineRule="auto"/>
        <w:ind w:left="-5" w:hanging="10"/>
      </w:pPr>
      <w:r>
        <w:rPr>
          <w:b/>
          <w:color w:val="E06F00"/>
          <w:sz w:val="38"/>
        </w:rPr>
        <w:t>&gt;</w:t>
      </w:r>
      <w:r>
        <w:rPr>
          <w:color w:val="1C1C1B"/>
          <w:sz w:val="20"/>
        </w:rPr>
        <w:t xml:space="preserve"> </w:t>
      </w:r>
      <w:hyperlink r:id="rId7">
        <w:r>
          <w:rPr>
            <w:color w:val="007BCA"/>
            <w:sz w:val="20"/>
            <w:u w:val="single" w:color="007BCA"/>
          </w:rPr>
          <w:t>Download hier de versie die je kunt bewerken in Word</w:t>
        </w:r>
      </w:hyperlink>
    </w:p>
    <w:p w:rsidR="00161286" w:rsidRDefault="009926B0">
      <w:pPr>
        <w:spacing w:after="0"/>
        <w:ind w:left="-5" w:hanging="10"/>
      </w:pPr>
      <w:r>
        <w:rPr>
          <w:b/>
          <w:i/>
          <w:color w:val="007AC6"/>
          <w:sz w:val="26"/>
        </w:rPr>
        <w:t>Kwaliteitskader</w:t>
      </w:r>
      <w:r>
        <w:rPr>
          <w:b/>
          <w:color w:val="007AC6"/>
          <w:sz w:val="26"/>
        </w:rPr>
        <w:t xml:space="preserve"> en Zelfscan</w:t>
      </w:r>
      <w:r>
        <w:rPr>
          <w:color w:val="007AC6"/>
          <w:sz w:val="43"/>
        </w:rPr>
        <w:t xml:space="preserve">  </w:t>
      </w:r>
    </w:p>
    <w:p w:rsidR="00161286" w:rsidRDefault="009926B0">
      <w:pPr>
        <w:spacing w:after="266"/>
        <w:ind w:left="-5" w:hanging="10"/>
      </w:pPr>
      <w:r>
        <w:rPr>
          <w:b/>
          <w:color w:val="007AC6"/>
          <w:sz w:val="36"/>
        </w:rPr>
        <w:t>Werken aan veiligheid</w:t>
      </w:r>
      <w:r>
        <w:rPr>
          <w:color w:val="007AC6"/>
          <w:sz w:val="36"/>
        </w:rPr>
        <w:t xml:space="preserve"> voor lokale (wijk)teams en gemeenten</w:t>
      </w:r>
    </w:p>
    <w:p w:rsidR="00161286" w:rsidRDefault="009926B0">
      <w:pPr>
        <w:pStyle w:val="Kop2"/>
        <w:ind w:left="-5" w:right="1972"/>
      </w:pPr>
      <w:r>
        <w:t>Follow-up bijeenkomst</w:t>
      </w:r>
    </w:p>
    <w:p w:rsidR="00161286" w:rsidRDefault="009926B0">
      <w:pPr>
        <w:spacing w:after="10"/>
        <w:ind w:left="-5" w:hanging="10"/>
      </w:pPr>
      <w:r>
        <w:rPr>
          <w:b/>
          <w:color w:val="1C1C1B"/>
        </w:rPr>
        <w:t>Naam regio/gemeente</w:t>
      </w:r>
    </w:p>
    <w:p w:rsidR="00161286" w:rsidRDefault="009926B0">
      <w:pPr>
        <w:spacing w:after="2" w:line="265" w:lineRule="auto"/>
        <w:ind w:left="-5" w:hanging="10"/>
      </w:pPr>
      <w:r>
        <w:rPr>
          <w:color w:val="1C1C1B"/>
        </w:rPr>
        <w:t>Datum invullen 09.30 – 12.15 evt. aanpassen</w:t>
      </w:r>
    </w:p>
    <w:p w:rsidR="00161286" w:rsidRDefault="009926B0">
      <w:pPr>
        <w:spacing w:after="404" w:line="265" w:lineRule="auto"/>
        <w:ind w:left="-5" w:hanging="10"/>
      </w:pPr>
      <w:r>
        <w:rPr>
          <w:color w:val="1C1C1B"/>
        </w:rPr>
        <w:t xml:space="preserve">Online via: [link toevoegen] </w:t>
      </w:r>
    </w:p>
    <w:p w:rsidR="00161286" w:rsidRDefault="009926B0" w:rsidP="0061366E">
      <w:pPr>
        <w:tabs>
          <w:tab w:val="left" w:pos="1418"/>
          <w:tab w:val="center" w:pos="3708"/>
        </w:tabs>
        <w:spacing w:after="128" w:line="247" w:lineRule="auto"/>
      </w:pPr>
      <w:r>
        <w:rPr>
          <w:color w:val="1C1C1B"/>
          <w:sz w:val="20"/>
        </w:rPr>
        <w:t>09.00 – 09.30</w:t>
      </w:r>
      <w:r w:rsidR="0061366E">
        <w:rPr>
          <w:color w:val="1C1C1B"/>
          <w:sz w:val="20"/>
        </w:rPr>
        <w:tab/>
      </w:r>
      <w:r>
        <w:rPr>
          <w:color w:val="1C1C1B"/>
          <w:sz w:val="20"/>
        </w:rPr>
        <w:t xml:space="preserve">Inloggen op Zoom/Teams/Webex (wat van toepassing is) </w:t>
      </w:r>
    </w:p>
    <w:p w:rsidR="00161286" w:rsidRDefault="009926B0" w:rsidP="0061366E">
      <w:pPr>
        <w:pStyle w:val="Kop3"/>
        <w:tabs>
          <w:tab w:val="left" w:pos="1418"/>
          <w:tab w:val="center" w:pos="3711"/>
        </w:tabs>
        <w:spacing w:after="119"/>
        <w:ind w:left="-15" w:firstLine="0"/>
      </w:pPr>
      <w:r>
        <w:rPr>
          <w:color w:val="1C1C1B"/>
          <w:sz w:val="20"/>
        </w:rPr>
        <w:t>09.30 – 09.45</w:t>
      </w:r>
      <w:r w:rsidR="0061366E">
        <w:rPr>
          <w:color w:val="1C1C1B"/>
          <w:sz w:val="20"/>
        </w:rPr>
        <w:tab/>
      </w:r>
      <w:r>
        <w:rPr>
          <w:color w:val="1C1C1B"/>
          <w:sz w:val="20"/>
        </w:rPr>
        <w:t>Welkom en korte terugblik op invullen van de zelfscan</w:t>
      </w:r>
      <w:r>
        <w:rPr>
          <w:b w:val="0"/>
          <w:i/>
          <w:color w:val="1C1C1B"/>
          <w:sz w:val="20"/>
        </w:rPr>
        <w:t xml:space="preserve"> </w:t>
      </w:r>
    </w:p>
    <w:p w:rsidR="00161286" w:rsidRDefault="009926B0" w:rsidP="0061366E">
      <w:pPr>
        <w:tabs>
          <w:tab w:val="center" w:pos="454"/>
          <w:tab w:val="left" w:pos="1418"/>
          <w:tab w:val="center" w:pos="2710"/>
        </w:tabs>
        <w:spacing w:after="118"/>
      </w:pPr>
      <w:r>
        <w:rPr>
          <w:i/>
          <w:color w:val="1C1C1B"/>
          <w:sz w:val="20"/>
        </w:rPr>
        <w:t xml:space="preserve"> </w:t>
      </w:r>
      <w:r>
        <w:rPr>
          <w:i/>
          <w:color w:val="1C1C1B"/>
          <w:sz w:val="20"/>
        </w:rPr>
        <w:tab/>
        <w:t xml:space="preserve"> </w:t>
      </w:r>
      <w:r>
        <w:rPr>
          <w:i/>
          <w:color w:val="1C1C1B"/>
          <w:sz w:val="20"/>
        </w:rPr>
        <w:tab/>
      </w:r>
      <w:r>
        <w:rPr>
          <w:color w:val="1C1C1B"/>
          <w:sz w:val="20"/>
        </w:rPr>
        <w:t>Door</w:t>
      </w:r>
      <w:r>
        <w:rPr>
          <w:b/>
          <w:color w:val="1C1C1B"/>
          <w:sz w:val="20"/>
        </w:rPr>
        <w:t xml:space="preserve"> </w:t>
      </w:r>
      <w:r>
        <w:rPr>
          <w:i/>
          <w:color w:val="1C1C1B"/>
          <w:sz w:val="20"/>
        </w:rPr>
        <w:t>[</w:t>
      </w:r>
      <w:r>
        <w:rPr>
          <w:b/>
          <w:i/>
          <w:color w:val="1C1C1B"/>
          <w:sz w:val="20"/>
        </w:rPr>
        <w:t>naam en functie invullen]</w:t>
      </w:r>
    </w:p>
    <w:p w:rsidR="00161286" w:rsidRDefault="009926B0" w:rsidP="0061366E">
      <w:pPr>
        <w:tabs>
          <w:tab w:val="left" w:pos="1418"/>
          <w:tab w:val="center" w:pos="5002"/>
        </w:tabs>
        <w:spacing w:after="10" w:line="248" w:lineRule="auto"/>
        <w:ind w:left="-15"/>
      </w:pPr>
      <w:r>
        <w:rPr>
          <w:b/>
          <w:color w:val="1C1C1B"/>
          <w:sz w:val="20"/>
        </w:rPr>
        <w:t>09.45 – 10.15</w:t>
      </w:r>
      <w:r w:rsidR="0061366E">
        <w:rPr>
          <w:b/>
          <w:color w:val="1C1C1B"/>
          <w:sz w:val="20"/>
        </w:rPr>
        <w:tab/>
      </w:r>
      <w:r>
        <w:rPr>
          <w:b/>
          <w:color w:val="1C1C1B"/>
          <w:sz w:val="20"/>
        </w:rPr>
        <w:t xml:space="preserve">Belangrijkste uitkomsten zelfscan Kwaliteitskader: welke thema’s springen eruit? </w:t>
      </w:r>
    </w:p>
    <w:p w:rsidR="00161286" w:rsidRPr="0061366E" w:rsidRDefault="009926B0" w:rsidP="0061366E">
      <w:pPr>
        <w:tabs>
          <w:tab w:val="left" w:pos="1418"/>
        </w:tabs>
        <w:spacing w:after="132" w:line="247" w:lineRule="auto"/>
        <w:ind w:left="1418" w:right="788" w:hanging="1418"/>
        <w:rPr>
          <w:color w:val="1C1C1B"/>
          <w:sz w:val="20"/>
        </w:rPr>
      </w:pPr>
      <w:r>
        <w:rPr>
          <w:b/>
          <w:color w:val="1C1C1B"/>
          <w:sz w:val="20"/>
        </w:rPr>
        <w:t xml:space="preserve"> </w:t>
      </w:r>
      <w:r w:rsidR="0061366E">
        <w:rPr>
          <w:b/>
          <w:color w:val="1C1C1B"/>
          <w:sz w:val="20"/>
        </w:rPr>
        <w:tab/>
      </w:r>
      <w:r>
        <w:rPr>
          <w:color w:val="1C1C1B"/>
          <w:sz w:val="20"/>
        </w:rPr>
        <w:t xml:space="preserve">Inclusief mogelijkheid voor het stellen van vragen en toelichting op de thema’s waar we in </w:t>
      </w:r>
      <w:r w:rsidR="005A2814">
        <w:rPr>
          <w:color w:val="1C1C1B"/>
          <w:sz w:val="20"/>
        </w:rPr>
        <w:br/>
      </w:r>
      <w:r>
        <w:rPr>
          <w:color w:val="1C1C1B"/>
          <w:sz w:val="20"/>
        </w:rPr>
        <w:t>de break-out groups mee aan de slag gaan</w:t>
      </w:r>
      <w:r>
        <w:rPr>
          <w:b/>
          <w:color w:val="1C1C1B"/>
          <w:sz w:val="20"/>
        </w:rPr>
        <w:t xml:space="preserve">. </w:t>
      </w:r>
      <w:r>
        <w:rPr>
          <w:color w:val="1C1C1B"/>
          <w:sz w:val="20"/>
        </w:rPr>
        <w:t>Door</w:t>
      </w:r>
      <w:r>
        <w:rPr>
          <w:b/>
          <w:color w:val="1C1C1B"/>
          <w:sz w:val="20"/>
        </w:rPr>
        <w:t xml:space="preserve"> </w:t>
      </w:r>
      <w:r>
        <w:rPr>
          <w:b/>
          <w:i/>
          <w:color w:val="1C1C1B"/>
          <w:sz w:val="20"/>
        </w:rPr>
        <w:t>[naam en functie invullen]</w:t>
      </w:r>
    </w:p>
    <w:p w:rsidR="00161286" w:rsidRDefault="009926B0" w:rsidP="0061366E">
      <w:pPr>
        <w:tabs>
          <w:tab w:val="left" w:pos="1418"/>
          <w:tab w:val="center" w:pos="2663"/>
        </w:tabs>
        <w:spacing w:after="10" w:line="248" w:lineRule="auto"/>
        <w:ind w:left="-15"/>
      </w:pPr>
      <w:r>
        <w:rPr>
          <w:b/>
          <w:color w:val="1C1C1B"/>
          <w:sz w:val="20"/>
        </w:rPr>
        <w:t xml:space="preserve">10.15 – 10.45 </w:t>
      </w:r>
      <w:r>
        <w:rPr>
          <w:b/>
          <w:color w:val="1C1C1B"/>
          <w:sz w:val="20"/>
        </w:rPr>
        <w:tab/>
        <w:t xml:space="preserve">Aan de slag met de thema’s  </w:t>
      </w:r>
    </w:p>
    <w:p w:rsidR="00161286" w:rsidRDefault="009926B0" w:rsidP="0061366E">
      <w:pPr>
        <w:tabs>
          <w:tab w:val="left" w:pos="1418"/>
        </w:tabs>
        <w:spacing w:after="5" w:line="247" w:lineRule="auto"/>
        <w:ind w:left="1418" w:right="822"/>
      </w:pPr>
      <w:r>
        <w:rPr>
          <w:color w:val="1C1C1B"/>
          <w:sz w:val="20"/>
        </w:rPr>
        <w:t>Werken in break-out groups (gemengde samenstelling, dus niet per gemeente) aan de hand van  de volgende vragen:</w:t>
      </w:r>
    </w:p>
    <w:p w:rsidR="00161286" w:rsidRDefault="009926B0" w:rsidP="0061366E">
      <w:pPr>
        <w:numPr>
          <w:ilvl w:val="0"/>
          <w:numId w:val="5"/>
        </w:numPr>
        <w:tabs>
          <w:tab w:val="left" w:pos="1418"/>
        </w:tabs>
        <w:spacing w:after="5" w:line="247" w:lineRule="auto"/>
        <w:ind w:left="1588" w:hanging="170"/>
      </w:pPr>
      <w:r>
        <w:rPr>
          <w:color w:val="1C1C1B"/>
          <w:sz w:val="20"/>
        </w:rPr>
        <w:t xml:space="preserve">Hoe kunnen we dit thema oppakken? Waar liggen de grootste knelpunten, waar de kansen, </w:t>
      </w:r>
      <w:r w:rsidR="005A2814">
        <w:rPr>
          <w:color w:val="1C1C1B"/>
          <w:sz w:val="20"/>
        </w:rPr>
        <w:br/>
      </w:r>
      <w:r>
        <w:rPr>
          <w:color w:val="1C1C1B"/>
          <w:sz w:val="20"/>
        </w:rPr>
        <w:t>is er een quick win waar we al snel mee aan de slag kunnen gaan?</w:t>
      </w:r>
    </w:p>
    <w:p w:rsidR="00161286" w:rsidRDefault="009926B0" w:rsidP="0061366E">
      <w:pPr>
        <w:numPr>
          <w:ilvl w:val="0"/>
          <w:numId w:val="5"/>
        </w:numPr>
        <w:tabs>
          <w:tab w:val="left" w:pos="1418"/>
        </w:tabs>
        <w:spacing w:after="5" w:line="247" w:lineRule="auto"/>
        <w:ind w:left="1588" w:hanging="170"/>
      </w:pPr>
      <w:r>
        <w:rPr>
          <w:color w:val="1C1C1B"/>
          <w:sz w:val="20"/>
        </w:rPr>
        <w:t xml:space="preserve">Willen we dit thema regionaal of lokaal oppakken? </w:t>
      </w:r>
    </w:p>
    <w:p w:rsidR="00161286" w:rsidRDefault="009926B0" w:rsidP="0061366E">
      <w:pPr>
        <w:numPr>
          <w:ilvl w:val="0"/>
          <w:numId w:val="5"/>
        </w:numPr>
        <w:tabs>
          <w:tab w:val="left" w:pos="1418"/>
        </w:tabs>
        <w:spacing w:after="128" w:line="247" w:lineRule="auto"/>
        <w:ind w:left="1588" w:hanging="170"/>
      </w:pPr>
      <w:r>
        <w:rPr>
          <w:color w:val="1C1C1B"/>
          <w:sz w:val="20"/>
        </w:rPr>
        <w:t>Zijn er kosten aan verbonden?</w:t>
      </w:r>
    </w:p>
    <w:p w:rsidR="00161286" w:rsidRDefault="009926B0" w:rsidP="0061366E">
      <w:pPr>
        <w:tabs>
          <w:tab w:val="left" w:pos="1418"/>
          <w:tab w:val="center" w:pos="3198"/>
        </w:tabs>
        <w:spacing w:after="128" w:line="248" w:lineRule="auto"/>
        <w:ind w:left="-15"/>
      </w:pPr>
      <w:r>
        <w:rPr>
          <w:b/>
          <w:color w:val="1C1C1B"/>
          <w:sz w:val="20"/>
        </w:rPr>
        <w:t xml:space="preserve">10.45 – 11.00 </w:t>
      </w:r>
      <w:r>
        <w:rPr>
          <w:b/>
          <w:color w:val="1C1C1B"/>
          <w:sz w:val="20"/>
        </w:rPr>
        <w:tab/>
        <w:t>Plenaire terugkoppeling van de thema’s</w:t>
      </w:r>
    </w:p>
    <w:p w:rsidR="00161286" w:rsidRDefault="009926B0" w:rsidP="0061366E">
      <w:pPr>
        <w:tabs>
          <w:tab w:val="left" w:pos="1418"/>
          <w:tab w:val="center" w:pos="1974"/>
        </w:tabs>
        <w:spacing w:after="127" w:line="248" w:lineRule="auto"/>
        <w:ind w:left="-15"/>
      </w:pPr>
      <w:r>
        <w:rPr>
          <w:color w:val="1C1C1B"/>
          <w:sz w:val="20"/>
        </w:rPr>
        <w:t xml:space="preserve">11.00 – 11.15  </w:t>
      </w:r>
      <w:r>
        <w:rPr>
          <w:color w:val="1C1C1B"/>
          <w:sz w:val="20"/>
        </w:rPr>
        <w:tab/>
        <w:t>Korte pauze</w:t>
      </w:r>
    </w:p>
    <w:p w:rsidR="00161286" w:rsidRDefault="009926B0" w:rsidP="0061366E">
      <w:pPr>
        <w:tabs>
          <w:tab w:val="left" w:pos="1418"/>
          <w:tab w:val="center" w:pos="3818"/>
        </w:tabs>
        <w:spacing w:after="10" w:line="248" w:lineRule="auto"/>
        <w:ind w:left="-15"/>
      </w:pPr>
      <w:r>
        <w:rPr>
          <w:b/>
          <w:color w:val="1C1C1B"/>
          <w:sz w:val="20"/>
        </w:rPr>
        <w:t xml:space="preserve">11.15 – 11.30 </w:t>
      </w:r>
      <w:r>
        <w:rPr>
          <w:b/>
          <w:color w:val="1C1C1B"/>
          <w:sz w:val="20"/>
        </w:rPr>
        <w:tab/>
        <w:t>Hoe kom je van de zelfscan naar een plan van aanpak?</w:t>
      </w:r>
    </w:p>
    <w:p w:rsidR="00161286" w:rsidRDefault="009926B0" w:rsidP="005A2814">
      <w:pPr>
        <w:numPr>
          <w:ilvl w:val="0"/>
          <w:numId w:val="5"/>
        </w:numPr>
        <w:tabs>
          <w:tab w:val="left" w:pos="1418"/>
        </w:tabs>
        <w:spacing w:after="0" w:line="240" w:lineRule="auto"/>
        <w:ind w:left="1588" w:hanging="170"/>
      </w:pPr>
      <w:r>
        <w:rPr>
          <w:b/>
          <w:color w:val="1C1C1B"/>
          <w:sz w:val="20"/>
        </w:rPr>
        <w:t>Inhoud:</w:t>
      </w:r>
      <w:r>
        <w:rPr>
          <w:color w:val="1C1C1B"/>
          <w:sz w:val="20"/>
        </w:rPr>
        <w:t xml:space="preserve"> welke thema’s/verbeterpunten, wat moet er gebeuren, wanneer zijn we tevreden, wie gaat  het doen, zijn er kosten aan verbonden? Toelichting aan de hand van format voor plan van aanpak.</w:t>
      </w:r>
    </w:p>
    <w:p w:rsidR="005A2814" w:rsidRDefault="009926B0" w:rsidP="005A2814">
      <w:pPr>
        <w:numPr>
          <w:ilvl w:val="0"/>
          <w:numId w:val="5"/>
        </w:numPr>
        <w:tabs>
          <w:tab w:val="left" w:pos="1418"/>
        </w:tabs>
        <w:spacing w:after="0" w:line="240" w:lineRule="auto"/>
        <w:ind w:left="1588" w:hanging="170"/>
      </w:pPr>
      <w:r>
        <w:rPr>
          <w:b/>
          <w:color w:val="1C1C1B"/>
          <w:sz w:val="20"/>
        </w:rPr>
        <w:t>Proces:</w:t>
      </w:r>
      <w:r>
        <w:rPr>
          <w:color w:val="1C1C1B"/>
          <w:sz w:val="20"/>
        </w:rPr>
        <w:t xml:space="preserve"> prioriteiten, planning, uitvoering, monitoring, lokaal en/of regionaal? </w:t>
      </w:r>
    </w:p>
    <w:p w:rsidR="00161286" w:rsidRPr="005A2814" w:rsidRDefault="009926B0" w:rsidP="005A2814">
      <w:pPr>
        <w:numPr>
          <w:ilvl w:val="0"/>
          <w:numId w:val="5"/>
        </w:numPr>
        <w:tabs>
          <w:tab w:val="left" w:pos="1418"/>
        </w:tabs>
        <w:spacing w:after="128" w:line="240" w:lineRule="auto"/>
        <w:ind w:left="1588" w:hanging="170"/>
      </w:pPr>
      <w:r w:rsidRPr="005A2814">
        <w:rPr>
          <w:b/>
          <w:color w:val="1C1C1B"/>
          <w:sz w:val="20"/>
        </w:rPr>
        <w:t>Bestuurlijk:</w:t>
      </w:r>
      <w:r w:rsidRPr="005A2814">
        <w:rPr>
          <w:color w:val="1C1C1B"/>
          <w:sz w:val="20"/>
        </w:rPr>
        <w:t xml:space="preserve"> besluitvorming, budgetten en monitoring </w:t>
      </w:r>
      <w:r w:rsidR="005A2814">
        <w:rPr>
          <w:color w:val="1C1C1B"/>
          <w:sz w:val="20"/>
        </w:rPr>
        <w:br/>
      </w:r>
      <w:r w:rsidRPr="005A2814">
        <w:rPr>
          <w:color w:val="1C1C1B"/>
          <w:sz w:val="20"/>
        </w:rPr>
        <w:t>Door</w:t>
      </w:r>
      <w:r w:rsidRPr="005A2814">
        <w:rPr>
          <w:i/>
          <w:color w:val="1C1C1B"/>
          <w:sz w:val="20"/>
        </w:rPr>
        <w:t xml:space="preserve"> </w:t>
      </w:r>
      <w:r w:rsidRPr="005A2814">
        <w:rPr>
          <w:b/>
          <w:i/>
          <w:color w:val="1C1C1B"/>
          <w:sz w:val="20"/>
        </w:rPr>
        <w:t>[naam en functie invullen]</w:t>
      </w:r>
      <w:r w:rsidRPr="005A2814">
        <w:rPr>
          <w:i/>
          <w:color w:val="1C1C1B"/>
          <w:sz w:val="20"/>
        </w:rPr>
        <w:t xml:space="preserve"> in nauwe samenhang met de groep.</w:t>
      </w:r>
    </w:p>
    <w:p w:rsidR="00161286" w:rsidRDefault="009926B0" w:rsidP="0061366E">
      <w:pPr>
        <w:tabs>
          <w:tab w:val="left" w:pos="1418"/>
          <w:tab w:val="center" w:pos="3243"/>
        </w:tabs>
        <w:spacing w:after="10" w:line="248" w:lineRule="auto"/>
        <w:ind w:left="-15"/>
      </w:pPr>
      <w:r>
        <w:rPr>
          <w:b/>
          <w:color w:val="1C1C1B"/>
          <w:sz w:val="20"/>
        </w:rPr>
        <w:t xml:space="preserve">11.30 – 12.00 </w:t>
      </w:r>
      <w:r>
        <w:rPr>
          <w:b/>
          <w:color w:val="1C1C1B"/>
          <w:sz w:val="20"/>
        </w:rPr>
        <w:tab/>
        <w:t>Van zelfscan naar lokaal plan van aanpak</w:t>
      </w:r>
    </w:p>
    <w:p w:rsidR="00161286" w:rsidRDefault="009926B0" w:rsidP="0061366E">
      <w:pPr>
        <w:tabs>
          <w:tab w:val="left" w:pos="1418"/>
        </w:tabs>
        <w:spacing w:after="5" w:line="247" w:lineRule="auto"/>
        <w:ind w:left="1418"/>
      </w:pPr>
      <w:r>
        <w:rPr>
          <w:color w:val="1C1C1B"/>
          <w:sz w:val="20"/>
        </w:rPr>
        <w:t xml:space="preserve">Werken in break-out groups per gemeente aan de hand van de volgende vragen: </w:t>
      </w:r>
    </w:p>
    <w:p w:rsidR="00161286" w:rsidRDefault="009926B0" w:rsidP="0061366E">
      <w:pPr>
        <w:numPr>
          <w:ilvl w:val="0"/>
          <w:numId w:val="5"/>
        </w:numPr>
        <w:tabs>
          <w:tab w:val="left" w:pos="1418"/>
        </w:tabs>
        <w:spacing w:after="5" w:line="247" w:lineRule="auto"/>
        <w:ind w:left="1588" w:hanging="170"/>
      </w:pPr>
      <w:r>
        <w:rPr>
          <w:color w:val="1C1C1B"/>
          <w:sz w:val="20"/>
        </w:rPr>
        <w:t>Wat zijn voor onze gemeente de belangrijkste punten om op te pakken?</w:t>
      </w:r>
    </w:p>
    <w:p w:rsidR="00161286" w:rsidRDefault="009926B0" w:rsidP="0061366E">
      <w:pPr>
        <w:numPr>
          <w:ilvl w:val="0"/>
          <w:numId w:val="5"/>
        </w:numPr>
        <w:tabs>
          <w:tab w:val="left" w:pos="1418"/>
        </w:tabs>
        <w:spacing w:after="5" w:line="247" w:lineRule="auto"/>
        <w:ind w:left="1588" w:hanging="170"/>
      </w:pPr>
      <w:r>
        <w:rPr>
          <w:color w:val="1C1C1B"/>
          <w:sz w:val="20"/>
        </w:rPr>
        <w:t>Prioritering: welke punten pakken we als eerste op?</w:t>
      </w:r>
    </w:p>
    <w:p w:rsidR="00161286" w:rsidRDefault="009926B0" w:rsidP="005A2814">
      <w:pPr>
        <w:numPr>
          <w:ilvl w:val="0"/>
          <w:numId w:val="5"/>
        </w:numPr>
        <w:tabs>
          <w:tab w:val="left" w:pos="1418"/>
        </w:tabs>
        <w:spacing w:after="5" w:line="247" w:lineRule="auto"/>
        <w:ind w:left="1588" w:right="-441" w:hanging="170"/>
      </w:pPr>
      <w:r>
        <w:rPr>
          <w:color w:val="1C1C1B"/>
          <w:sz w:val="20"/>
        </w:rPr>
        <w:t>Hoe gaan we deze punten oppakken, op welke termijn willen we dit doen en wie hebben we daarvoor nodig?</w:t>
      </w:r>
    </w:p>
    <w:p w:rsidR="00161286" w:rsidRPr="0061366E" w:rsidRDefault="009926B0" w:rsidP="005A2814">
      <w:pPr>
        <w:numPr>
          <w:ilvl w:val="0"/>
          <w:numId w:val="5"/>
        </w:numPr>
        <w:tabs>
          <w:tab w:val="left" w:pos="1418"/>
        </w:tabs>
        <w:spacing w:after="5" w:line="247" w:lineRule="auto"/>
        <w:ind w:left="1588" w:right="-299" w:hanging="170"/>
        <w:rPr>
          <w:kern w:val="10"/>
        </w:rPr>
      </w:pPr>
      <w:r w:rsidRPr="0061366E">
        <w:rPr>
          <w:color w:val="1C1C1B"/>
          <w:kern w:val="10"/>
          <w:sz w:val="20"/>
        </w:rPr>
        <w:t>Hebben we in onze gemeente aanvullend budget nodig op bepaalde punten en zo ja, hoe pakken we dit</w:t>
      </w:r>
      <w:r w:rsidR="005A2814">
        <w:rPr>
          <w:color w:val="1C1C1B"/>
          <w:kern w:val="10"/>
          <w:sz w:val="20"/>
        </w:rPr>
        <w:t xml:space="preserve"> </w:t>
      </w:r>
      <w:r w:rsidRPr="0061366E">
        <w:rPr>
          <w:color w:val="1C1C1B"/>
          <w:kern w:val="10"/>
          <w:sz w:val="20"/>
        </w:rPr>
        <w:t>op?</w:t>
      </w:r>
    </w:p>
    <w:p w:rsidR="00161286" w:rsidRDefault="009926B0" w:rsidP="0061366E">
      <w:pPr>
        <w:numPr>
          <w:ilvl w:val="0"/>
          <w:numId w:val="5"/>
        </w:numPr>
        <w:tabs>
          <w:tab w:val="left" w:pos="1418"/>
        </w:tabs>
        <w:spacing w:after="128" w:line="247" w:lineRule="auto"/>
        <w:ind w:left="1588" w:hanging="170"/>
      </w:pPr>
      <w:r>
        <w:rPr>
          <w:color w:val="1C1C1B"/>
          <w:sz w:val="20"/>
        </w:rPr>
        <w:t>Hoe steken we het in onze gemeente bestuurlijk in?</w:t>
      </w:r>
    </w:p>
    <w:p w:rsidR="00161286" w:rsidRDefault="009926B0" w:rsidP="00FF1CE0">
      <w:pPr>
        <w:tabs>
          <w:tab w:val="left" w:pos="1418"/>
          <w:tab w:val="center" w:pos="2379"/>
        </w:tabs>
        <w:spacing w:after="10" w:line="247" w:lineRule="auto"/>
        <w:ind w:left="-17"/>
      </w:pPr>
      <w:r>
        <w:rPr>
          <w:b/>
          <w:color w:val="1C1C1B"/>
          <w:sz w:val="20"/>
        </w:rPr>
        <w:t xml:space="preserve">12.00 – 12.15 </w:t>
      </w:r>
      <w:r>
        <w:rPr>
          <w:b/>
          <w:color w:val="1C1C1B"/>
          <w:sz w:val="20"/>
        </w:rPr>
        <w:tab/>
        <w:t xml:space="preserve">Hoe gaan we verder? </w:t>
      </w:r>
    </w:p>
    <w:p w:rsidR="00161286" w:rsidRDefault="009926B0" w:rsidP="00FF1CE0">
      <w:pPr>
        <w:spacing w:after="42" w:line="247" w:lineRule="auto"/>
        <w:ind w:left="1418" w:right="3198"/>
      </w:pPr>
      <w:r>
        <w:rPr>
          <w:color w:val="1C1C1B"/>
          <w:sz w:val="20"/>
        </w:rPr>
        <w:t xml:space="preserve">Afspraken over het vervolg en afsluiting van de bijeenkomst  </w:t>
      </w:r>
      <w:r w:rsidR="00FF1CE0">
        <w:rPr>
          <w:color w:val="1C1C1B"/>
          <w:sz w:val="20"/>
        </w:rPr>
        <w:br/>
      </w:r>
      <w:r>
        <w:rPr>
          <w:color w:val="1C1C1B"/>
          <w:sz w:val="20"/>
        </w:rPr>
        <w:t xml:space="preserve">door </w:t>
      </w:r>
      <w:r>
        <w:rPr>
          <w:b/>
          <w:i/>
          <w:color w:val="1C1C1B"/>
          <w:sz w:val="20"/>
        </w:rPr>
        <w:t>[naam en functie invullen]</w:t>
      </w:r>
    </w:p>
    <w:p w:rsidR="00161286" w:rsidRDefault="00161286">
      <w:pPr>
        <w:sectPr w:rsidR="00161286" w:rsidSect="00B4040C">
          <w:headerReference w:type="even" r:id="rId8"/>
          <w:headerReference w:type="default" r:id="rId9"/>
          <w:footerReference w:type="even" r:id="rId10"/>
          <w:footerReference w:type="default" r:id="rId11"/>
          <w:headerReference w:type="first" r:id="rId12"/>
          <w:footerReference w:type="first" r:id="rId13"/>
          <w:pgSz w:w="11906" w:h="16838"/>
          <w:pgMar w:top="2767" w:right="890" w:bottom="0" w:left="964" w:header="709" w:footer="0" w:gutter="0"/>
          <w:cols w:space="708"/>
          <w:titlePg/>
          <w:docGrid w:linePitch="299"/>
        </w:sectPr>
      </w:pPr>
    </w:p>
    <w:p w:rsidR="00161286" w:rsidRDefault="009926B0">
      <w:pPr>
        <w:spacing w:after="421" w:line="265" w:lineRule="auto"/>
        <w:ind w:left="-5" w:hanging="10"/>
      </w:pPr>
      <w:r>
        <w:rPr>
          <w:b/>
          <w:color w:val="E06F00"/>
          <w:sz w:val="38"/>
        </w:rPr>
        <w:lastRenderedPageBreak/>
        <w:t>&gt;</w:t>
      </w:r>
      <w:r>
        <w:rPr>
          <w:color w:val="1C1C1B"/>
          <w:sz w:val="20"/>
        </w:rPr>
        <w:t xml:space="preserve"> </w:t>
      </w:r>
      <w:hyperlink r:id="rId14">
        <w:r>
          <w:rPr>
            <w:color w:val="007BCA"/>
            <w:sz w:val="20"/>
            <w:u w:val="single" w:color="007BCA"/>
          </w:rPr>
          <w:t>Download hier de versie die je kunt bewerken in Word</w:t>
        </w:r>
      </w:hyperlink>
    </w:p>
    <w:p w:rsidR="00161286" w:rsidRDefault="009926B0">
      <w:pPr>
        <w:pStyle w:val="Kop3"/>
        <w:ind w:left="-5"/>
      </w:pPr>
      <w:r>
        <w:rPr>
          <w:i/>
          <w:color w:val="007AC6"/>
          <w:sz w:val="26"/>
        </w:rPr>
        <w:t>Kwaliteitskader</w:t>
      </w:r>
      <w:r>
        <w:rPr>
          <w:color w:val="007AC6"/>
          <w:sz w:val="26"/>
        </w:rPr>
        <w:t xml:space="preserve"> en Zelfscan</w:t>
      </w:r>
      <w:r>
        <w:rPr>
          <w:b w:val="0"/>
          <w:color w:val="007AC6"/>
          <w:sz w:val="43"/>
        </w:rPr>
        <w:t xml:space="preserve">  </w:t>
      </w:r>
    </w:p>
    <w:p w:rsidR="00161286" w:rsidRDefault="009926B0">
      <w:pPr>
        <w:spacing w:after="266"/>
        <w:ind w:left="-5" w:hanging="10"/>
      </w:pPr>
      <w:r>
        <w:rPr>
          <w:b/>
          <w:color w:val="007AC6"/>
          <w:sz w:val="36"/>
        </w:rPr>
        <w:t>Werken aan veiligheid</w:t>
      </w:r>
      <w:r>
        <w:rPr>
          <w:color w:val="007AC6"/>
          <w:sz w:val="36"/>
        </w:rPr>
        <w:t xml:space="preserve"> voor lokale (wijk)teams en gemeenten</w:t>
      </w:r>
    </w:p>
    <w:p w:rsidR="00161286" w:rsidRDefault="009926B0">
      <w:pPr>
        <w:spacing w:after="124"/>
      </w:pPr>
      <w:r>
        <w:rPr>
          <w:b/>
          <w:color w:val="007AC6"/>
          <w:sz w:val="24"/>
        </w:rPr>
        <w:t>[Evt. titel van plan van aanpak]</w:t>
      </w:r>
    </w:p>
    <w:p w:rsidR="00161286" w:rsidRDefault="009926B0">
      <w:pPr>
        <w:pStyle w:val="Kop2"/>
        <w:spacing w:after="240"/>
        <w:ind w:left="-5" w:right="1972"/>
      </w:pPr>
      <w:r>
        <w:t>Plan van Aanpak [20.. – 20..]</w:t>
      </w:r>
    </w:p>
    <w:p w:rsidR="00161286" w:rsidRDefault="009926B0">
      <w:pPr>
        <w:pStyle w:val="Kop3"/>
        <w:ind w:left="-5"/>
      </w:pPr>
      <w:r>
        <w:rPr>
          <w:color w:val="E06F00"/>
        </w:rPr>
        <w:t>Inleiding</w:t>
      </w:r>
    </w:p>
    <w:p w:rsidR="00161286" w:rsidRDefault="009926B0">
      <w:pPr>
        <w:spacing w:after="228" w:line="248" w:lineRule="auto"/>
        <w:ind w:left="-5" w:right="26" w:hanging="10"/>
      </w:pPr>
      <w:r>
        <w:rPr>
          <w:i/>
          <w:sz w:val="20"/>
        </w:rPr>
        <w:t>Hierin terugblik op hoe het plan van aanpak tot stand is gekomen, zoals bijvoorbeeld het invullen van de zelfscan, analyse en aanzet  tot plan van aanpak.</w:t>
      </w:r>
    </w:p>
    <w:p w:rsidR="00161286" w:rsidRDefault="009926B0">
      <w:pPr>
        <w:spacing w:after="192" w:line="295" w:lineRule="auto"/>
        <w:ind w:left="-15"/>
      </w:pPr>
      <w:r>
        <w:rPr>
          <w:sz w:val="20"/>
        </w:rPr>
        <w:t>Dit plan van aanpak is gebaseerd op het Kwaliteitskader “Werken aan veiligheid voor lokale (wijk)teams en gemeenten”.</w:t>
      </w:r>
      <w:r w:rsidR="00A564F3">
        <w:rPr>
          <w:sz w:val="20"/>
        </w:rPr>
        <w:t xml:space="preserve"> </w:t>
      </w:r>
      <w:r>
        <w:rPr>
          <w:sz w:val="20"/>
        </w:rPr>
        <w:t xml:space="preserve">Aan het plan van aanpak liggen één of meerdere zelfscans ten grondslag. Het plan van aanpak kan zowel lokaal als  regionaal worden opgesteld, of beide, al naar gelang behoefte. Daarnaast kunnen ook andere lokale ontwikkelingen hierin meegenomen worden om zodoende een compleet beeld te krijgen van de aanpak huiselijk geweld en kindermishandeling. Dat geldt ook voor regionale uitgangspunten zoals bijvoorbeeld de regiovisie. </w:t>
      </w:r>
    </w:p>
    <w:p w:rsidR="00161286" w:rsidRDefault="009926B0">
      <w:pPr>
        <w:pStyle w:val="Kop3"/>
        <w:ind w:left="-5"/>
      </w:pPr>
      <w:r>
        <w:rPr>
          <w:color w:val="E06F00"/>
        </w:rPr>
        <w:t>Context</w:t>
      </w:r>
      <w:r>
        <w:rPr>
          <w:color w:val="E06F00"/>
          <w:sz w:val="20"/>
        </w:rPr>
        <w:t xml:space="preserve"> </w:t>
      </w:r>
    </w:p>
    <w:p w:rsidR="00161286" w:rsidRDefault="009926B0">
      <w:pPr>
        <w:numPr>
          <w:ilvl w:val="0"/>
          <w:numId w:val="6"/>
        </w:numPr>
        <w:spacing w:after="5" w:line="248" w:lineRule="auto"/>
        <w:ind w:hanging="170"/>
      </w:pPr>
      <w:r>
        <w:rPr>
          <w:color w:val="1C1C1B"/>
          <w:sz w:val="20"/>
        </w:rPr>
        <w:t xml:space="preserve">Regiovisie, regionale uitgangspunten, etc. </w:t>
      </w:r>
    </w:p>
    <w:p w:rsidR="00161286" w:rsidRDefault="009926B0">
      <w:pPr>
        <w:numPr>
          <w:ilvl w:val="0"/>
          <w:numId w:val="6"/>
        </w:numPr>
        <w:spacing w:after="5" w:line="248" w:lineRule="auto"/>
        <w:ind w:hanging="170"/>
      </w:pPr>
      <w:r>
        <w:rPr>
          <w:color w:val="1C1C1B"/>
          <w:sz w:val="20"/>
        </w:rPr>
        <w:t>Lokale uitgangspunten, ontwikkelingen en afspraken</w:t>
      </w:r>
    </w:p>
    <w:p w:rsidR="00161286" w:rsidRDefault="009926B0">
      <w:pPr>
        <w:numPr>
          <w:ilvl w:val="0"/>
          <w:numId w:val="6"/>
        </w:numPr>
        <w:spacing w:after="226" w:line="248" w:lineRule="auto"/>
        <w:ind w:hanging="170"/>
      </w:pPr>
      <w:r>
        <w:rPr>
          <w:color w:val="1C1C1B"/>
          <w:sz w:val="20"/>
        </w:rPr>
        <w:t xml:space="preserve">Belangrijke punten uit Zelfscan Regiobreed </w:t>
      </w:r>
    </w:p>
    <w:p w:rsidR="00161286" w:rsidRDefault="009926B0">
      <w:pPr>
        <w:spacing w:after="0"/>
        <w:ind w:left="-5" w:hanging="10"/>
      </w:pPr>
      <w:r>
        <w:rPr>
          <w:b/>
          <w:color w:val="E06F00"/>
        </w:rPr>
        <w:t>Samenvatting belangrijkste uitkomsten en suggesties voor verbetermaatregelen</w:t>
      </w:r>
    </w:p>
    <w:p w:rsidR="00161286" w:rsidRDefault="009926B0">
      <w:pPr>
        <w:spacing w:after="228" w:line="248" w:lineRule="auto"/>
        <w:ind w:left="-5" w:right="26" w:hanging="10"/>
      </w:pPr>
      <w:r>
        <w:rPr>
          <w:i/>
          <w:sz w:val="20"/>
        </w:rPr>
        <w:t>Belangrijkste uitkomsten/suggesties voor verbetermaatregelen als resultaat van de zelfscan.</w:t>
      </w:r>
    </w:p>
    <w:p w:rsidR="00161286" w:rsidRDefault="009926B0">
      <w:pPr>
        <w:pStyle w:val="Kop3"/>
        <w:ind w:left="-5"/>
      </w:pPr>
      <w:r>
        <w:rPr>
          <w:color w:val="E06F00"/>
        </w:rPr>
        <w:t>Plan van Aanpak [20.. – 20..]</w:t>
      </w:r>
    </w:p>
    <w:p w:rsidR="00161286" w:rsidRDefault="009926B0" w:rsidP="00A564F3">
      <w:pPr>
        <w:spacing w:after="0" w:line="248" w:lineRule="auto"/>
        <w:ind w:left="-5" w:right="26" w:hanging="10"/>
      </w:pPr>
      <w:r>
        <w:rPr>
          <w:i/>
          <w:sz w:val="20"/>
        </w:rPr>
        <w:t xml:space="preserve">Toelichting op hoe het plan van aanpak wordt opgepakt. Bijvoorbeeld: Het plan van aanpak is nadrukkelijk </w:t>
      </w:r>
      <w:r w:rsidR="00A564F3">
        <w:rPr>
          <w:i/>
          <w:sz w:val="20"/>
        </w:rPr>
        <w:br/>
      </w:r>
      <w:r>
        <w:rPr>
          <w:i/>
          <w:sz w:val="20"/>
        </w:rPr>
        <w:t xml:space="preserve">een werkdocument  dat in de tijd en bij voortschrijdend inzicht waar nodig wordt aangepast, uiteraard </w:t>
      </w:r>
      <w:r w:rsidR="00A564F3">
        <w:rPr>
          <w:i/>
          <w:sz w:val="20"/>
        </w:rPr>
        <w:br/>
      </w:r>
      <w:r>
        <w:rPr>
          <w:i/>
          <w:sz w:val="20"/>
        </w:rPr>
        <w:t xml:space="preserve">in nauwe afstemming met de betrokkenen. Daarnaast wordt de voortgang binnen het plan van aanpak </w:t>
      </w:r>
      <w:r w:rsidR="00A564F3">
        <w:rPr>
          <w:i/>
          <w:sz w:val="20"/>
        </w:rPr>
        <w:br/>
      </w:r>
      <w:bookmarkStart w:id="0" w:name="_GoBack"/>
      <w:bookmarkEnd w:id="0"/>
      <w:r>
        <w:rPr>
          <w:i/>
          <w:sz w:val="20"/>
        </w:rPr>
        <w:t>regelmatig gemonitord.</w:t>
      </w:r>
    </w:p>
    <w:p w:rsidR="009E52B2" w:rsidRDefault="009E52B2" w:rsidP="009E52B2">
      <w:pPr>
        <w:pStyle w:val="Kop2"/>
        <w:snapToGrid w:val="0"/>
        <w:spacing w:after="0" w:line="240" w:lineRule="exact"/>
        <w:ind w:left="0" w:firstLine="0"/>
      </w:pPr>
    </w:p>
    <w:p w:rsidR="009E52B2" w:rsidRDefault="009E52B2" w:rsidP="009E52B2">
      <w:pPr>
        <w:pStyle w:val="Kop2"/>
        <w:snapToGrid w:val="0"/>
        <w:spacing w:after="0" w:line="240" w:lineRule="exact"/>
        <w:ind w:left="0" w:firstLine="0"/>
      </w:pPr>
    </w:p>
    <w:p w:rsidR="009E52B2" w:rsidRDefault="009E52B2" w:rsidP="009E52B2">
      <w:pPr>
        <w:pStyle w:val="Kop2"/>
        <w:snapToGrid w:val="0"/>
        <w:spacing w:after="0" w:line="240" w:lineRule="exact"/>
        <w:ind w:left="0" w:firstLine="0"/>
      </w:pPr>
    </w:p>
    <w:p w:rsidR="009E52B2" w:rsidRDefault="009E52B2" w:rsidP="009E52B2">
      <w:pPr>
        <w:pStyle w:val="Kop2"/>
        <w:snapToGrid w:val="0"/>
        <w:spacing w:after="0" w:line="240" w:lineRule="exact"/>
        <w:ind w:left="0" w:firstLine="0"/>
      </w:pPr>
    </w:p>
    <w:p w:rsidR="009E52B2" w:rsidRDefault="009E52B2" w:rsidP="009E52B2">
      <w:pPr>
        <w:pStyle w:val="Kop2"/>
        <w:snapToGrid w:val="0"/>
        <w:spacing w:after="0" w:line="240" w:lineRule="exact"/>
        <w:ind w:left="0" w:firstLine="0"/>
      </w:pPr>
    </w:p>
    <w:p w:rsidR="009E52B2" w:rsidRDefault="009E52B2" w:rsidP="009E52B2">
      <w:pPr>
        <w:pStyle w:val="Kop2"/>
        <w:snapToGrid w:val="0"/>
        <w:spacing w:after="14" w:line="240" w:lineRule="auto"/>
        <w:ind w:left="0" w:right="1972" w:firstLine="0"/>
      </w:pPr>
    </w:p>
    <w:p w:rsidR="009E52B2" w:rsidRDefault="009E52B2" w:rsidP="009E52B2">
      <w:pPr>
        <w:pStyle w:val="Kop2"/>
        <w:snapToGrid w:val="0"/>
        <w:spacing w:after="14" w:line="240" w:lineRule="auto"/>
        <w:ind w:left="0" w:right="1972" w:firstLine="0"/>
      </w:pPr>
    </w:p>
    <w:p w:rsidR="009E52B2" w:rsidRDefault="009E52B2" w:rsidP="009E52B2">
      <w:pPr>
        <w:pStyle w:val="Kop2"/>
        <w:snapToGrid w:val="0"/>
        <w:spacing w:after="14" w:line="240" w:lineRule="auto"/>
        <w:ind w:left="0" w:right="1972" w:firstLine="0"/>
      </w:pPr>
    </w:p>
    <w:p w:rsidR="009E52B2" w:rsidRPr="009E52B2" w:rsidRDefault="009E52B2" w:rsidP="009E52B2">
      <w:pPr>
        <w:rPr>
          <w:lang w:bidi="ar-SA"/>
        </w:rPr>
      </w:pPr>
    </w:p>
    <w:p w:rsidR="00161286" w:rsidRDefault="009926B0" w:rsidP="009E52B2">
      <w:pPr>
        <w:pStyle w:val="Kop2"/>
        <w:snapToGrid w:val="0"/>
        <w:spacing w:after="14" w:line="240" w:lineRule="auto"/>
        <w:ind w:left="0" w:right="1972" w:firstLine="0"/>
      </w:pPr>
      <w:r>
        <w:lastRenderedPageBreak/>
        <w:t>Plan van Aanpak [20.. – 20..]</w:t>
      </w:r>
    </w:p>
    <w:p w:rsidR="00161286" w:rsidRDefault="009926B0" w:rsidP="009E52B2">
      <w:pPr>
        <w:snapToGrid w:val="0"/>
        <w:spacing w:after="413" w:line="240" w:lineRule="auto"/>
      </w:pPr>
      <w:r>
        <w:rPr>
          <w:color w:val="007AC6"/>
          <w:sz w:val="30"/>
        </w:rPr>
        <w:t>Werken aan veiligheid voor lokale (wijk)teams</w:t>
      </w:r>
    </w:p>
    <w:p w:rsidR="00161286" w:rsidRDefault="009926B0" w:rsidP="009E52B2">
      <w:pPr>
        <w:snapToGrid w:val="0"/>
        <w:spacing w:after="0" w:line="240" w:lineRule="auto"/>
      </w:pPr>
      <w:r>
        <w:rPr>
          <w:b/>
          <w:color w:val="007BCA"/>
        </w:rPr>
        <w:t>Kwaliteitsstandaarden 1 en 2: Gemeentelijke regie</w:t>
      </w:r>
    </w:p>
    <w:p w:rsidR="00161286" w:rsidRDefault="009926B0" w:rsidP="009E52B2">
      <w:pPr>
        <w:numPr>
          <w:ilvl w:val="0"/>
          <w:numId w:val="7"/>
        </w:numPr>
        <w:snapToGrid w:val="0"/>
        <w:spacing w:after="42" w:line="240" w:lineRule="auto"/>
        <w:ind w:hanging="340"/>
      </w:pPr>
      <w:r>
        <w:rPr>
          <w:color w:val="1C1C1B"/>
          <w:sz w:val="20"/>
        </w:rPr>
        <w:t>Integrale gemeentelijke visie op de inrichting van de lokale infrastructuur.</w:t>
      </w:r>
    </w:p>
    <w:p w:rsidR="00482D15" w:rsidRDefault="009926B0" w:rsidP="009E52B2">
      <w:pPr>
        <w:numPr>
          <w:ilvl w:val="0"/>
          <w:numId w:val="7"/>
        </w:numPr>
        <w:snapToGrid w:val="0"/>
        <w:spacing w:after="1783" w:line="240" w:lineRule="auto"/>
        <w:ind w:hanging="340"/>
      </w:pPr>
      <w:r>
        <w:rPr>
          <w:color w:val="1C1C1B"/>
          <w:sz w:val="20"/>
        </w:rPr>
        <w:t>Opdracht aan de lokale (wijk)teams m.b.t. de aanpak van huiselijk geweld en kindermishandeling.</w:t>
      </w:r>
    </w:p>
    <w:tbl>
      <w:tblPr>
        <w:tblStyle w:val="TableGrid"/>
        <w:tblW w:w="9978" w:type="dxa"/>
        <w:tblInd w:w="5" w:type="dxa"/>
        <w:tblCellMar>
          <w:top w:w="89" w:type="dxa"/>
          <w:left w:w="170" w:type="dxa"/>
          <w:right w:w="84" w:type="dxa"/>
        </w:tblCellMar>
        <w:tblLook w:val="04A0" w:firstRow="1" w:lastRow="0" w:firstColumn="1" w:lastColumn="0" w:noHBand="0" w:noVBand="1"/>
      </w:tblPr>
      <w:tblGrid>
        <w:gridCol w:w="1530"/>
        <w:gridCol w:w="1531"/>
        <w:gridCol w:w="1531"/>
        <w:gridCol w:w="1531"/>
        <w:gridCol w:w="1531"/>
        <w:gridCol w:w="1162"/>
        <w:gridCol w:w="1162"/>
      </w:tblGrid>
      <w:tr w:rsidR="00482D15" w:rsidTr="00712365">
        <w:trPr>
          <w:trHeight w:val="1858"/>
        </w:trPr>
        <w:tc>
          <w:tcPr>
            <w:tcW w:w="1530" w:type="dxa"/>
            <w:tcBorders>
              <w:top w:val="nil"/>
              <w:left w:val="nil"/>
              <w:bottom w:val="nil"/>
              <w:right w:val="nil"/>
            </w:tcBorders>
            <w:shd w:val="clear" w:color="auto" w:fill="8FC9E7"/>
          </w:tcPr>
          <w:p w:rsidR="00482D15" w:rsidRDefault="00482D15" w:rsidP="00712365">
            <w:pPr>
              <w:spacing w:after="0"/>
            </w:pPr>
            <w:r>
              <w:rPr>
                <w:b/>
                <w:color w:val="FFFFFF"/>
                <w:sz w:val="18"/>
              </w:rPr>
              <w:t>Maatregel/  verbeterpunt</w:t>
            </w:r>
          </w:p>
        </w:tc>
        <w:tc>
          <w:tcPr>
            <w:tcW w:w="1531" w:type="dxa"/>
            <w:tcBorders>
              <w:top w:val="nil"/>
              <w:left w:val="nil"/>
              <w:bottom w:val="nil"/>
              <w:right w:val="nil"/>
            </w:tcBorders>
            <w:shd w:val="clear" w:color="auto" w:fill="8FC9E7"/>
          </w:tcPr>
          <w:p w:rsidR="00482D15" w:rsidRDefault="00482D15" w:rsidP="00712365">
            <w:pPr>
              <w:spacing w:after="0" w:line="262" w:lineRule="auto"/>
            </w:pPr>
            <w:r>
              <w:rPr>
                <w:b/>
                <w:color w:val="FFFFFF"/>
                <w:sz w:val="18"/>
              </w:rPr>
              <w:t xml:space="preserve">Huidige stand van zaken, incl. evt. raakvlakken met ander lokaal beleid/ lokale speerpunten </w:t>
            </w:r>
          </w:p>
          <w:p w:rsidR="00482D15" w:rsidRDefault="00482D15" w:rsidP="00712365">
            <w:pPr>
              <w:spacing w:after="0"/>
            </w:pPr>
            <w:r>
              <w:rPr>
                <w:i/>
                <w:color w:val="FFFFFF"/>
                <w:sz w:val="18"/>
              </w:rPr>
              <w:t>(kort &amp; bondig!)</w:t>
            </w:r>
          </w:p>
        </w:tc>
        <w:tc>
          <w:tcPr>
            <w:tcW w:w="1531" w:type="dxa"/>
            <w:tcBorders>
              <w:top w:val="nil"/>
              <w:left w:val="nil"/>
              <w:bottom w:val="nil"/>
              <w:right w:val="nil"/>
            </w:tcBorders>
            <w:shd w:val="clear" w:color="auto" w:fill="8FC9E7"/>
          </w:tcPr>
          <w:p w:rsidR="00482D15" w:rsidRDefault="00482D15" w:rsidP="00712365">
            <w:pPr>
              <w:spacing w:after="0"/>
              <w:ind w:right="186"/>
            </w:pPr>
            <w:r>
              <w:rPr>
                <w:b/>
                <w:color w:val="FFFFFF"/>
                <w:sz w:val="18"/>
              </w:rPr>
              <w:t>Omschrijving  verbeteractie (</w:t>
            </w:r>
            <w:r>
              <w:rPr>
                <w:b/>
                <w:color w:val="FFFFFF"/>
                <w:sz w:val="18"/>
                <w:u w:val="single" w:color="FFFFFF"/>
              </w:rPr>
              <w:t>wat</w:t>
            </w:r>
            <w:r>
              <w:rPr>
                <w:b/>
                <w:color w:val="FFFFFF"/>
                <w:sz w:val="18"/>
              </w:rPr>
              <w:t xml:space="preserve"> moet er gebeuren,  </w:t>
            </w:r>
            <w:r>
              <w:rPr>
                <w:b/>
                <w:color w:val="FFFFFF"/>
                <w:sz w:val="18"/>
                <w:u w:val="single" w:color="FFFFFF"/>
              </w:rPr>
              <w:t>hoe</w:t>
            </w:r>
            <w:r>
              <w:rPr>
                <w:b/>
                <w:color w:val="FFFFFF"/>
                <w:sz w:val="18"/>
              </w:rPr>
              <w:t xml:space="preserve"> wordt dit  opgepakt?</w:t>
            </w:r>
          </w:p>
        </w:tc>
        <w:tc>
          <w:tcPr>
            <w:tcW w:w="1531" w:type="dxa"/>
            <w:tcBorders>
              <w:top w:val="nil"/>
              <w:left w:val="nil"/>
              <w:bottom w:val="nil"/>
              <w:right w:val="nil"/>
            </w:tcBorders>
            <w:shd w:val="clear" w:color="auto" w:fill="8FC9E7"/>
          </w:tcPr>
          <w:p w:rsidR="00482D15" w:rsidRDefault="00482D15" w:rsidP="00712365">
            <w:pPr>
              <w:spacing w:after="3"/>
            </w:pPr>
            <w:r>
              <w:rPr>
                <w:b/>
                <w:color w:val="FFFFFF"/>
                <w:sz w:val="18"/>
              </w:rPr>
              <w:t xml:space="preserve">Beoogd </w:t>
            </w:r>
          </w:p>
          <w:p w:rsidR="00482D15" w:rsidRDefault="00482D15" w:rsidP="00712365">
            <w:pPr>
              <w:spacing w:after="3"/>
            </w:pPr>
            <w:r>
              <w:rPr>
                <w:b/>
                <w:color w:val="FFFFFF"/>
                <w:sz w:val="18"/>
              </w:rPr>
              <w:t xml:space="preserve">resultaat: </w:t>
            </w:r>
          </w:p>
          <w:p w:rsidR="00482D15" w:rsidRDefault="00482D15" w:rsidP="00712365">
            <w:pPr>
              <w:spacing w:after="0"/>
              <w:ind w:right="54"/>
            </w:pPr>
            <w:r>
              <w:rPr>
                <w:b/>
                <w:color w:val="FFFFFF"/>
                <w:sz w:val="18"/>
              </w:rPr>
              <w:t>wanneer zijn  we tevreden  (prestatie- indicatoren)?</w:t>
            </w:r>
          </w:p>
        </w:tc>
        <w:tc>
          <w:tcPr>
            <w:tcW w:w="1531" w:type="dxa"/>
            <w:tcBorders>
              <w:top w:val="nil"/>
              <w:left w:val="nil"/>
              <w:bottom w:val="nil"/>
              <w:right w:val="nil"/>
            </w:tcBorders>
            <w:shd w:val="clear" w:color="auto" w:fill="8FC9E7"/>
          </w:tcPr>
          <w:p w:rsidR="00482D15" w:rsidRDefault="00482D15" w:rsidP="00712365">
            <w:pPr>
              <w:spacing w:after="0"/>
            </w:pPr>
            <w:r>
              <w:rPr>
                <w:b/>
                <w:color w:val="FFFFFF"/>
                <w:sz w:val="18"/>
              </w:rPr>
              <w:t>Wie gaat het doen?</w:t>
            </w:r>
          </w:p>
        </w:tc>
        <w:tc>
          <w:tcPr>
            <w:tcW w:w="1162" w:type="dxa"/>
            <w:tcBorders>
              <w:top w:val="nil"/>
              <w:left w:val="nil"/>
              <w:bottom w:val="nil"/>
              <w:right w:val="nil"/>
            </w:tcBorders>
            <w:shd w:val="clear" w:color="auto" w:fill="8FC9E7"/>
          </w:tcPr>
          <w:p w:rsidR="00482D15" w:rsidRDefault="00482D15" w:rsidP="00712365">
            <w:pPr>
              <w:spacing w:after="0"/>
            </w:pPr>
            <w:r>
              <w:rPr>
                <w:b/>
                <w:color w:val="FFFFFF"/>
                <w:sz w:val="18"/>
              </w:rPr>
              <w:t>Planning</w:t>
            </w:r>
          </w:p>
        </w:tc>
        <w:tc>
          <w:tcPr>
            <w:tcW w:w="1162" w:type="dxa"/>
            <w:tcBorders>
              <w:top w:val="nil"/>
              <w:left w:val="nil"/>
              <w:bottom w:val="nil"/>
              <w:right w:val="nil"/>
            </w:tcBorders>
            <w:shd w:val="clear" w:color="auto" w:fill="8FC9E7"/>
          </w:tcPr>
          <w:p w:rsidR="00482D15" w:rsidRDefault="00482D15" w:rsidP="00712365">
            <w:pPr>
              <w:spacing w:after="0"/>
            </w:pPr>
            <w:r>
              <w:rPr>
                <w:b/>
                <w:color w:val="FFFFFF"/>
                <w:sz w:val="18"/>
              </w:rPr>
              <w:t>Kosten</w:t>
            </w:r>
          </w:p>
        </w:tc>
      </w:tr>
      <w:tr w:rsidR="00482D15" w:rsidRPr="00482D15" w:rsidTr="00712365">
        <w:trPr>
          <w:trHeight w:val="284"/>
        </w:trPr>
        <w:tc>
          <w:tcPr>
            <w:tcW w:w="1530" w:type="dxa"/>
            <w:tcBorders>
              <w:top w:val="nil"/>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nil"/>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nil"/>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r>
      <w:tr w:rsidR="00482D15" w:rsidRPr="00482D15" w:rsidTr="0071236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r>
      <w:tr w:rsidR="00482D15" w:rsidRPr="00482D15" w:rsidTr="0071236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r>
      <w:tr w:rsidR="00482D15" w:rsidRPr="00482D15" w:rsidTr="0071236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r>
      <w:tr w:rsidR="00482D15" w:rsidRPr="00482D15" w:rsidTr="0071236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r>
      <w:tr w:rsidR="00482D15" w:rsidRPr="00482D15" w:rsidTr="0071236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r>
      <w:tr w:rsidR="00482D15" w:rsidRPr="00482D15" w:rsidTr="0071236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r>
      <w:tr w:rsidR="00482D15" w:rsidRPr="00482D15" w:rsidTr="0071236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r>
      <w:tr w:rsidR="00482D15" w:rsidRPr="00482D15" w:rsidTr="0071236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r>
      <w:tr w:rsidR="00482D15" w:rsidRPr="00482D15" w:rsidTr="0071236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r>
      <w:tr w:rsidR="00482D15" w:rsidRPr="00482D15" w:rsidTr="0071236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r>
      <w:tr w:rsidR="00482D15" w:rsidRPr="00482D15" w:rsidTr="0071236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482D15" w:rsidRPr="00482D15" w:rsidRDefault="00482D15" w:rsidP="00712365">
            <w:pPr>
              <w:snapToGrid w:val="0"/>
              <w:spacing w:line="240" w:lineRule="auto"/>
              <w:rPr>
                <w:rFonts w:asciiTheme="minorHAnsi" w:hAnsiTheme="minorHAnsi" w:cstheme="minorHAnsi"/>
                <w:sz w:val="16"/>
                <w:szCs w:val="16"/>
              </w:rPr>
            </w:pPr>
          </w:p>
        </w:tc>
      </w:tr>
      <w:tr w:rsidR="00482D15" w:rsidTr="00712365">
        <w:trPr>
          <w:trHeight w:val="360"/>
        </w:trPr>
        <w:tc>
          <w:tcPr>
            <w:tcW w:w="1530" w:type="dxa"/>
            <w:tcBorders>
              <w:top w:val="single" w:sz="4" w:space="0" w:color="8FC9E7"/>
              <w:left w:val="single" w:sz="4" w:space="0" w:color="8FC9E7"/>
              <w:bottom w:val="nil"/>
              <w:right w:val="single" w:sz="4" w:space="0" w:color="8FC9E7"/>
            </w:tcBorders>
            <w:shd w:val="clear" w:color="auto" w:fill="FFFFFF"/>
          </w:tcPr>
          <w:p w:rsidR="00482D15" w:rsidRDefault="00482D15" w:rsidP="00712365"/>
        </w:tc>
        <w:tc>
          <w:tcPr>
            <w:tcW w:w="1531" w:type="dxa"/>
            <w:tcBorders>
              <w:top w:val="single" w:sz="4" w:space="0" w:color="8FC9E7"/>
              <w:left w:val="single" w:sz="4" w:space="0" w:color="8FC9E7"/>
              <w:bottom w:val="nil"/>
              <w:right w:val="single" w:sz="4" w:space="0" w:color="8FC9E7"/>
            </w:tcBorders>
            <w:shd w:val="clear" w:color="auto" w:fill="FFFFFF"/>
          </w:tcPr>
          <w:p w:rsidR="00482D15" w:rsidRDefault="00482D15" w:rsidP="00712365"/>
        </w:tc>
        <w:tc>
          <w:tcPr>
            <w:tcW w:w="1531" w:type="dxa"/>
            <w:tcBorders>
              <w:top w:val="single" w:sz="4" w:space="0" w:color="8FC9E7"/>
              <w:left w:val="single" w:sz="4" w:space="0" w:color="8FC9E7"/>
              <w:bottom w:val="nil"/>
              <w:right w:val="single" w:sz="4" w:space="0" w:color="8FC9E7"/>
            </w:tcBorders>
            <w:shd w:val="clear" w:color="auto" w:fill="FFFFFF"/>
          </w:tcPr>
          <w:p w:rsidR="00482D15" w:rsidRDefault="00482D15" w:rsidP="00712365"/>
        </w:tc>
        <w:tc>
          <w:tcPr>
            <w:tcW w:w="1531" w:type="dxa"/>
            <w:tcBorders>
              <w:top w:val="single" w:sz="4" w:space="0" w:color="8FC9E7"/>
              <w:left w:val="single" w:sz="4" w:space="0" w:color="8FC9E7"/>
              <w:bottom w:val="nil"/>
              <w:right w:val="single" w:sz="4" w:space="0" w:color="8FC9E7"/>
            </w:tcBorders>
            <w:shd w:val="clear" w:color="auto" w:fill="FFFFFF"/>
          </w:tcPr>
          <w:p w:rsidR="00482D15" w:rsidRDefault="00482D15" w:rsidP="00712365"/>
        </w:tc>
        <w:tc>
          <w:tcPr>
            <w:tcW w:w="1531" w:type="dxa"/>
            <w:tcBorders>
              <w:top w:val="single" w:sz="4" w:space="0" w:color="8FC9E7"/>
              <w:left w:val="single" w:sz="4" w:space="0" w:color="8FC9E7"/>
              <w:bottom w:val="nil"/>
              <w:right w:val="single" w:sz="4" w:space="0" w:color="8FC9E7"/>
            </w:tcBorders>
            <w:shd w:val="clear" w:color="auto" w:fill="FFFFFF"/>
          </w:tcPr>
          <w:p w:rsidR="00482D15" w:rsidRDefault="00482D15" w:rsidP="00712365"/>
        </w:tc>
        <w:tc>
          <w:tcPr>
            <w:tcW w:w="1162" w:type="dxa"/>
            <w:tcBorders>
              <w:top w:val="single" w:sz="4" w:space="0" w:color="8FC9E7"/>
              <w:left w:val="single" w:sz="4" w:space="0" w:color="8FC9E7"/>
              <w:bottom w:val="nil"/>
              <w:right w:val="single" w:sz="4" w:space="0" w:color="8FC9E7"/>
            </w:tcBorders>
            <w:shd w:val="clear" w:color="auto" w:fill="FFFFFF"/>
          </w:tcPr>
          <w:p w:rsidR="00482D15" w:rsidRDefault="00482D15" w:rsidP="00712365"/>
        </w:tc>
        <w:tc>
          <w:tcPr>
            <w:tcW w:w="1162" w:type="dxa"/>
            <w:tcBorders>
              <w:top w:val="single" w:sz="4" w:space="0" w:color="8FC9E7"/>
              <w:left w:val="single" w:sz="4" w:space="0" w:color="8FC9E7"/>
              <w:bottom w:val="nil"/>
              <w:right w:val="single" w:sz="4" w:space="0" w:color="8FC9E7"/>
            </w:tcBorders>
            <w:shd w:val="clear" w:color="auto" w:fill="FFFFFF"/>
          </w:tcPr>
          <w:p w:rsidR="00482D15" w:rsidRDefault="00482D15" w:rsidP="00712365"/>
        </w:tc>
      </w:tr>
    </w:tbl>
    <w:p w:rsidR="00482D15" w:rsidRDefault="00482D15" w:rsidP="00482D15">
      <w:pPr>
        <w:spacing w:after="1783" w:line="248" w:lineRule="auto"/>
      </w:pPr>
    </w:p>
    <w:p w:rsidR="00161286" w:rsidRDefault="009926B0">
      <w:pPr>
        <w:spacing w:after="0"/>
        <w:ind w:left="-10" w:right="-506"/>
      </w:pPr>
      <w:r>
        <w:rPr>
          <w:noProof/>
        </w:rPr>
        <w:lastRenderedPageBreak/>
        <w:drawing>
          <wp:inline distT="0" distB="0" distL="0" distR="0">
            <wp:extent cx="6352033" cy="5754624"/>
            <wp:effectExtent l="0" t="0" r="0" b="3175"/>
            <wp:docPr id="34327" name="Picture 34327"/>
            <wp:cNvGraphicFramePr/>
            <a:graphic xmlns:a="http://schemas.openxmlformats.org/drawingml/2006/main">
              <a:graphicData uri="http://schemas.openxmlformats.org/drawingml/2006/picture">
                <pic:pic xmlns:pic="http://schemas.openxmlformats.org/drawingml/2006/picture">
                  <pic:nvPicPr>
                    <pic:cNvPr id="34327" name="Picture 34327"/>
                    <pic:cNvPicPr/>
                  </pic:nvPicPr>
                  <pic:blipFill>
                    <a:blip r:embed="rId15"/>
                    <a:stretch>
                      <a:fillRect/>
                    </a:stretch>
                  </pic:blipFill>
                  <pic:spPr>
                    <a:xfrm>
                      <a:off x="0" y="0"/>
                      <a:ext cx="6352033" cy="5754624"/>
                    </a:xfrm>
                    <a:prstGeom prst="rect">
                      <a:avLst/>
                    </a:prstGeom>
                  </pic:spPr>
                </pic:pic>
              </a:graphicData>
            </a:graphic>
          </wp:inline>
        </w:drawing>
      </w:r>
    </w:p>
    <w:p w:rsidR="00161286" w:rsidRDefault="00161286">
      <w:pPr>
        <w:sectPr w:rsidR="00161286">
          <w:headerReference w:type="even" r:id="rId16"/>
          <w:headerReference w:type="default" r:id="rId17"/>
          <w:footerReference w:type="even" r:id="rId18"/>
          <w:footerReference w:type="default" r:id="rId19"/>
          <w:headerReference w:type="first" r:id="rId20"/>
          <w:footerReference w:type="first" r:id="rId21"/>
          <w:pgSz w:w="11906" w:h="16838"/>
          <w:pgMar w:top="2535" w:right="1455" w:bottom="1038" w:left="964" w:header="935" w:footer="432" w:gutter="0"/>
          <w:cols w:space="708"/>
          <w:titlePg/>
        </w:sectPr>
      </w:pPr>
    </w:p>
    <w:p w:rsidR="00161286" w:rsidRDefault="009926B0">
      <w:pPr>
        <w:pStyle w:val="Kop3"/>
        <w:ind w:left="-5"/>
      </w:pPr>
      <w:r>
        <w:rPr>
          <w:sz w:val="24"/>
        </w:rPr>
        <w:lastRenderedPageBreak/>
        <w:t>Kwaliteitsstandaarden 3 en 6: Vereisten voor alle lokale professionals</w:t>
      </w:r>
    </w:p>
    <w:p w:rsidR="00161286" w:rsidRDefault="009926B0">
      <w:pPr>
        <w:spacing w:after="0" w:line="295" w:lineRule="auto"/>
        <w:ind w:left="335" w:right="344" w:hanging="350"/>
      </w:pPr>
      <w:r>
        <w:rPr>
          <w:noProof/>
        </w:rPr>
        <w:drawing>
          <wp:anchor distT="0" distB="0" distL="114300" distR="114300" simplePos="0" relativeHeight="251676672" behindDoc="0" locked="0" layoutInCell="1" allowOverlap="0">
            <wp:simplePos x="0" y="0"/>
            <wp:positionH relativeFrom="page">
              <wp:posOffset>605536</wp:posOffset>
            </wp:positionH>
            <wp:positionV relativeFrom="page">
              <wp:posOffset>4278376</wp:posOffset>
            </wp:positionV>
            <wp:extent cx="6352033" cy="5754624"/>
            <wp:effectExtent l="0" t="0" r="0" b="0"/>
            <wp:wrapTopAndBottom/>
            <wp:docPr id="34329" name="Picture 34329"/>
            <wp:cNvGraphicFramePr/>
            <a:graphic xmlns:a="http://schemas.openxmlformats.org/drawingml/2006/main">
              <a:graphicData uri="http://schemas.openxmlformats.org/drawingml/2006/picture">
                <pic:pic xmlns:pic="http://schemas.openxmlformats.org/drawingml/2006/picture">
                  <pic:nvPicPr>
                    <pic:cNvPr id="34329" name="Picture 34329"/>
                    <pic:cNvPicPr/>
                  </pic:nvPicPr>
                  <pic:blipFill>
                    <a:blip r:embed="rId22"/>
                    <a:stretch>
                      <a:fillRect/>
                    </a:stretch>
                  </pic:blipFill>
                  <pic:spPr>
                    <a:xfrm>
                      <a:off x="0" y="0"/>
                      <a:ext cx="6352033" cy="5754624"/>
                    </a:xfrm>
                    <a:prstGeom prst="rect">
                      <a:avLst/>
                    </a:prstGeom>
                  </pic:spPr>
                </pic:pic>
              </a:graphicData>
            </a:graphic>
          </wp:anchor>
        </w:drawing>
      </w:r>
      <w:r>
        <w:rPr>
          <w:color w:val="E06F00"/>
          <w:sz w:val="20"/>
        </w:rPr>
        <w:t>3</w:t>
      </w:r>
      <w:r>
        <w:rPr>
          <w:sz w:val="20"/>
        </w:rPr>
        <w:t xml:space="preserve"> </w:t>
      </w:r>
      <w:r>
        <w:rPr>
          <w:sz w:val="20"/>
        </w:rPr>
        <w:tab/>
        <w:t xml:space="preserve"> Lokale professionals kunnen werken met de meldcode, zijn in staat om geweld te signaleren en het bespreekbaar  te maken, hebben kennis van huiselijk geweld en kindermishandeling, incl. specifieke geweldsvormen, hebben toegang  tot aandachtsfunctionarissen en zijn in staat om systeemgericht te werken.</w:t>
      </w:r>
    </w:p>
    <w:p w:rsidR="00161286" w:rsidRDefault="009926B0">
      <w:pPr>
        <w:spacing w:after="0" w:line="295" w:lineRule="auto"/>
        <w:ind w:left="335" w:hanging="350"/>
      </w:pPr>
      <w:r>
        <w:rPr>
          <w:color w:val="E06F00"/>
          <w:sz w:val="20"/>
        </w:rPr>
        <w:t>6</w:t>
      </w:r>
      <w:r>
        <w:rPr>
          <w:sz w:val="20"/>
        </w:rPr>
        <w:t xml:space="preserve">  </w:t>
      </w:r>
      <w:r>
        <w:rPr>
          <w:sz w:val="20"/>
        </w:rPr>
        <w:tab/>
        <w:t xml:space="preserve"> De lokale infrastructuur werkt conform het gedachtengoed van 1Gezin1Plan1Regisseur, op basis van een gedeelde visie op veiligheid, met één instrument voor veiligheidsbeoordeling, is in staat om casusregie te voeren en werkt traumasensitief.</w:t>
      </w:r>
      <w:r>
        <w:br w:type="page"/>
      </w:r>
    </w:p>
    <w:p w:rsidR="00161286" w:rsidRDefault="009926B0">
      <w:pPr>
        <w:pStyle w:val="Kop3"/>
        <w:ind w:left="-5"/>
      </w:pPr>
      <w:r>
        <w:rPr>
          <w:sz w:val="24"/>
        </w:rPr>
        <w:lastRenderedPageBreak/>
        <w:t>Kwaliteitsstandaarden 4, 5, 7, 8: Vereisten voor lokale professionals aan wie Veilig Thuis casuïstiek overdraagt</w:t>
      </w:r>
    </w:p>
    <w:p w:rsidR="00161286" w:rsidRDefault="009926B0">
      <w:pPr>
        <w:numPr>
          <w:ilvl w:val="0"/>
          <w:numId w:val="8"/>
        </w:numPr>
        <w:spacing w:after="42" w:line="248" w:lineRule="auto"/>
        <w:ind w:hanging="340"/>
      </w:pPr>
      <w:r>
        <w:rPr>
          <w:color w:val="1C1C1B"/>
          <w:sz w:val="20"/>
        </w:rPr>
        <w:t>Zicht op veiligheid: lokale professionals aan wie Veilig Thuis casuïstiek overdraagt hebben een actueel beeld van de veiligheid van alle leden in het gezin en onderhouden hiertoe contact met de gezinsleden en andere betrokkenen.</w:t>
      </w:r>
    </w:p>
    <w:p w:rsidR="00161286" w:rsidRDefault="009926B0">
      <w:pPr>
        <w:numPr>
          <w:ilvl w:val="0"/>
          <w:numId w:val="8"/>
        </w:numPr>
        <w:spacing w:after="42" w:line="248" w:lineRule="auto"/>
        <w:ind w:hanging="340"/>
      </w:pPr>
      <w:r>
        <w:rPr>
          <w:color w:val="1C1C1B"/>
          <w:sz w:val="20"/>
        </w:rPr>
        <w:t>Lokale teams beschikken over voldoende capaciteit om zicht op veiligheid te houden in gezinnen die door Veilig Thuis worden overgedragen.</w:t>
      </w:r>
    </w:p>
    <w:p w:rsidR="00161286" w:rsidRDefault="009926B0">
      <w:pPr>
        <w:numPr>
          <w:ilvl w:val="0"/>
          <w:numId w:val="9"/>
        </w:numPr>
        <w:spacing w:after="42" w:line="248" w:lineRule="auto"/>
        <w:ind w:hanging="340"/>
      </w:pPr>
      <w:r>
        <w:rPr>
          <w:noProof/>
        </w:rPr>
        <w:drawing>
          <wp:anchor distT="0" distB="0" distL="114300" distR="114300" simplePos="0" relativeHeight="251677696" behindDoc="0" locked="0" layoutInCell="1" allowOverlap="0">
            <wp:simplePos x="0" y="0"/>
            <wp:positionH relativeFrom="page">
              <wp:posOffset>605536</wp:posOffset>
            </wp:positionH>
            <wp:positionV relativeFrom="page">
              <wp:posOffset>4278376</wp:posOffset>
            </wp:positionV>
            <wp:extent cx="6352033" cy="5754624"/>
            <wp:effectExtent l="0" t="0" r="0" b="0"/>
            <wp:wrapTopAndBottom/>
            <wp:docPr id="34331" name="Picture 34331"/>
            <wp:cNvGraphicFramePr/>
            <a:graphic xmlns:a="http://schemas.openxmlformats.org/drawingml/2006/main">
              <a:graphicData uri="http://schemas.openxmlformats.org/drawingml/2006/picture">
                <pic:pic xmlns:pic="http://schemas.openxmlformats.org/drawingml/2006/picture">
                  <pic:nvPicPr>
                    <pic:cNvPr id="34331" name="Picture 34331"/>
                    <pic:cNvPicPr/>
                  </pic:nvPicPr>
                  <pic:blipFill>
                    <a:blip r:embed="rId22"/>
                    <a:stretch>
                      <a:fillRect/>
                    </a:stretch>
                  </pic:blipFill>
                  <pic:spPr>
                    <a:xfrm>
                      <a:off x="0" y="0"/>
                      <a:ext cx="6352033" cy="5754624"/>
                    </a:xfrm>
                    <a:prstGeom prst="rect">
                      <a:avLst/>
                    </a:prstGeom>
                  </pic:spPr>
                </pic:pic>
              </a:graphicData>
            </a:graphic>
          </wp:anchor>
        </w:drawing>
      </w:r>
      <w:r>
        <w:rPr>
          <w:color w:val="1C1C1B"/>
          <w:sz w:val="20"/>
        </w:rPr>
        <w:t>Verdiepte basiskennis en contacten: lokale professionals aan wie VT overdraagt hebben verdiepte basiskennis inzake geweldsdynamiek en risicofactoren; problematiek en risicofactoren die met huiselijk geweld en kindermishandeling samenhangen (‘aanpalende problematiek’); familie- en jeugdrecht. Ook hebben deze professionals de mogelijkheid om GGZ-professionals te consulteren en inzicht in de samenwerking met Veilig Thuis.</w:t>
      </w:r>
    </w:p>
    <w:p w:rsidR="00161286" w:rsidRDefault="009926B0">
      <w:pPr>
        <w:numPr>
          <w:ilvl w:val="0"/>
          <w:numId w:val="9"/>
        </w:numPr>
        <w:spacing w:after="42" w:line="248" w:lineRule="auto"/>
        <w:ind w:hanging="340"/>
      </w:pPr>
      <w:r>
        <w:rPr>
          <w:color w:val="1C1C1B"/>
          <w:sz w:val="20"/>
        </w:rPr>
        <w:t>Lokale professionals aan wie Veilig Thuis casuïstiek overdraagt zijn in staat om een veiligheidsbeoordeling te maken en daaraan gekoppeld een veiligheids-, hulpverlenings- en herstelplan op te stellen en uit te voeren. Zij werken outreachend, zetten tijdig systeemgerichte hulpverlening in, zijn in staat om (casus)regie te voeren en betrekken hierbij de sociale steunstructuur van een gezin.</w:t>
      </w:r>
      <w:r>
        <w:br w:type="page"/>
      </w:r>
    </w:p>
    <w:p w:rsidR="00161286" w:rsidRDefault="009926B0">
      <w:pPr>
        <w:pStyle w:val="Kop3"/>
        <w:ind w:left="-5"/>
      </w:pPr>
      <w:r>
        <w:rPr>
          <w:sz w:val="24"/>
        </w:rPr>
        <w:lastRenderedPageBreak/>
        <w:t>Kwaliteitsstandaard 9: Beschikbaarheid gespecialiseerd hulpaanbod</w:t>
      </w:r>
    </w:p>
    <w:p w:rsidR="00161286" w:rsidRDefault="009926B0">
      <w:pPr>
        <w:spacing w:after="42" w:line="248" w:lineRule="auto"/>
        <w:ind w:left="325" w:hanging="340"/>
      </w:pPr>
      <w:r>
        <w:rPr>
          <w:color w:val="E06F00"/>
          <w:sz w:val="20"/>
        </w:rPr>
        <w:t>9</w:t>
      </w:r>
      <w:r>
        <w:rPr>
          <w:color w:val="1C1C1B"/>
          <w:sz w:val="20"/>
        </w:rPr>
        <w:t xml:space="preserve"> </w:t>
      </w:r>
      <w:r>
        <w:rPr>
          <w:color w:val="1C1C1B"/>
          <w:sz w:val="20"/>
        </w:rPr>
        <w:tab/>
        <w:t xml:space="preserve"> Er is binnen de gemeente en/of (boven)regionaal voldoende (variatie in) gespecialiseerd hulpaanbod beschikbaar, zowel voor slachtoffers, plegers als kinderen, gericht op het onmiddellijk stoppen van geweld, wegnemen van  risicofactoren en herstel van de gevolgen van huiselijk geweld en kindermishandeling.</w:t>
      </w:r>
    </w:p>
    <w:p w:rsidR="00161286" w:rsidRDefault="00161286">
      <w:pPr>
        <w:sectPr w:rsidR="00161286">
          <w:headerReference w:type="even" r:id="rId23"/>
          <w:headerReference w:type="default" r:id="rId24"/>
          <w:footerReference w:type="even" r:id="rId25"/>
          <w:footerReference w:type="default" r:id="rId26"/>
          <w:headerReference w:type="first" r:id="rId27"/>
          <w:footerReference w:type="first" r:id="rId28"/>
          <w:pgSz w:w="11906" w:h="16838"/>
          <w:pgMar w:top="2211" w:right="1053" w:bottom="10518" w:left="964" w:header="935" w:footer="432" w:gutter="0"/>
          <w:cols w:space="708"/>
        </w:sectPr>
      </w:pPr>
    </w:p>
    <w:p w:rsidR="00161286" w:rsidRDefault="009926B0">
      <w:pPr>
        <w:pStyle w:val="Kop3"/>
        <w:ind w:left="0" w:firstLine="0"/>
      </w:pPr>
      <w:r>
        <w:rPr>
          <w:sz w:val="26"/>
        </w:rPr>
        <w:lastRenderedPageBreak/>
        <w:t xml:space="preserve">Kwaliteitsstandaard 10: Samenwerking met Veilig Thuis </w:t>
      </w:r>
    </w:p>
    <w:p w:rsidR="00161286" w:rsidRDefault="009926B0">
      <w:pPr>
        <w:spacing w:after="2810" w:line="248" w:lineRule="auto"/>
        <w:ind w:left="325" w:hanging="340"/>
      </w:pPr>
      <w:r>
        <w:rPr>
          <w:color w:val="E06F00"/>
          <w:sz w:val="20"/>
        </w:rPr>
        <w:t>10</w:t>
      </w:r>
      <w:r>
        <w:rPr>
          <w:color w:val="1C1C1B"/>
          <w:sz w:val="20"/>
        </w:rPr>
        <w:t xml:space="preserve"> </w:t>
      </w:r>
      <w:r w:rsidR="00482D15">
        <w:rPr>
          <w:color w:val="1C1C1B"/>
          <w:sz w:val="20"/>
        </w:rPr>
        <w:tab/>
      </w:r>
      <w:r>
        <w:rPr>
          <w:color w:val="1C1C1B"/>
          <w:sz w:val="20"/>
        </w:rPr>
        <w:t>Er zijn samenwerkingsafspraken tussen het lokale veld en Veilig Thuis, in ieder geval over het informeren van direct betrokkenen, rolverdeling, overdracht, wat te doen bij nieuwe zorgen, inzet van erkende methoden en instrumenten, wat te doen als medewerkers van Veilig thuis en de lokale infrastructuur het niet eens worden en hoe casuïstiek met elkaar wordt geëvalueerd.</w:t>
      </w:r>
    </w:p>
    <w:tbl>
      <w:tblPr>
        <w:tblStyle w:val="TableGrid"/>
        <w:tblW w:w="9978" w:type="dxa"/>
        <w:tblInd w:w="5" w:type="dxa"/>
        <w:tblCellMar>
          <w:top w:w="89" w:type="dxa"/>
          <w:left w:w="170" w:type="dxa"/>
          <w:right w:w="84" w:type="dxa"/>
        </w:tblCellMar>
        <w:tblLook w:val="04A0" w:firstRow="1" w:lastRow="0" w:firstColumn="1" w:lastColumn="0" w:noHBand="0" w:noVBand="1"/>
      </w:tblPr>
      <w:tblGrid>
        <w:gridCol w:w="1530"/>
        <w:gridCol w:w="1531"/>
        <w:gridCol w:w="1531"/>
        <w:gridCol w:w="1531"/>
        <w:gridCol w:w="1531"/>
        <w:gridCol w:w="1162"/>
        <w:gridCol w:w="1162"/>
      </w:tblGrid>
      <w:tr w:rsidR="00161286" w:rsidTr="00482D15">
        <w:trPr>
          <w:trHeight w:val="1858"/>
        </w:trPr>
        <w:tc>
          <w:tcPr>
            <w:tcW w:w="1530" w:type="dxa"/>
            <w:tcBorders>
              <w:top w:val="nil"/>
              <w:left w:val="nil"/>
              <w:bottom w:val="nil"/>
              <w:right w:val="nil"/>
            </w:tcBorders>
            <w:shd w:val="clear" w:color="auto" w:fill="8FC9E7"/>
          </w:tcPr>
          <w:p w:rsidR="00161286" w:rsidRDefault="009926B0">
            <w:pPr>
              <w:spacing w:after="0"/>
            </w:pPr>
            <w:r>
              <w:rPr>
                <w:b/>
                <w:color w:val="FFFFFF"/>
                <w:sz w:val="18"/>
              </w:rPr>
              <w:t>Maatregel/  verbeterpunt</w:t>
            </w:r>
          </w:p>
        </w:tc>
        <w:tc>
          <w:tcPr>
            <w:tcW w:w="1531" w:type="dxa"/>
            <w:tcBorders>
              <w:top w:val="nil"/>
              <w:left w:val="nil"/>
              <w:bottom w:val="nil"/>
              <w:right w:val="nil"/>
            </w:tcBorders>
            <w:shd w:val="clear" w:color="auto" w:fill="8FC9E7"/>
          </w:tcPr>
          <w:p w:rsidR="00161286" w:rsidRDefault="009926B0">
            <w:pPr>
              <w:spacing w:after="0" w:line="262" w:lineRule="auto"/>
            </w:pPr>
            <w:r>
              <w:rPr>
                <w:b/>
                <w:color w:val="FFFFFF"/>
                <w:sz w:val="18"/>
              </w:rPr>
              <w:t xml:space="preserve">Huidige stand van zaken, incl. evt. raakvlakken met ander lokaal beleid/ lokale speerpunten </w:t>
            </w:r>
          </w:p>
          <w:p w:rsidR="00161286" w:rsidRDefault="009926B0">
            <w:pPr>
              <w:spacing w:after="0"/>
            </w:pPr>
            <w:r>
              <w:rPr>
                <w:i/>
                <w:color w:val="FFFFFF"/>
                <w:sz w:val="18"/>
              </w:rPr>
              <w:t>(kort &amp; bondig!)</w:t>
            </w:r>
          </w:p>
        </w:tc>
        <w:tc>
          <w:tcPr>
            <w:tcW w:w="1531" w:type="dxa"/>
            <w:tcBorders>
              <w:top w:val="nil"/>
              <w:left w:val="nil"/>
              <w:bottom w:val="nil"/>
              <w:right w:val="nil"/>
            </w:tcBorders>
            <w:shd w:val="clear" w:color="auto" w:fill="8FC9E7"/>
          </w:tcPr>
          <w:p w:rsidR="00161286" w:rsidRDefault="009926B0">
            <w:pPr>
              <w:spacing w:after="0"/>
              <w:ind w:right="186"/>
            </w:pPr>
            <w:r>
              <w:rPr>
                <w:b/>
                <w:color w:val="FFFFFF"/>
                <w:sz w:val="18"/>
              </w:rPr>
              <w:t>Omschrijving  verbeteractie (</w:t>
            </w:r>
            <w:r>
              <w:rPr>
                <w:b/>
                <w:color w:val="FFFFFF"/>
                <w:sz w:val="18"/>
                <w:u w:val="single" w:color="FFFFFF"/>
              </w:rPr>
              <w:t>wat</w:t>
            </w:r>
            <w:r>
              <w:rPr>
                <w:b/>
                <w:color w:val="FFFFFF"/>
                <w:sz w:val="18"/>
              </w:rPr>
              <w:t xml:space="preserve"> moet er gebeuren,  </w:t>
            </w:r>
            <w:r>
              <w:rPr>
                <w:b/>
                <w:color w:val="FFFFFF"/>
                <w:sz w:val="18"/>
                <w:u w:val="single" w:color="FFFFFF"/>
              </w:rPr>
              <w:t>hoe</w:t>
            </w:r>
            <w:r>
              <w:rPr>
                <w:b/>
                <w:color w:val="FFFFFF"/>
                <w:sz w:val="18"/>
              </w:rPr>
              <w:t xml:space="preserve"> wordt dit  opgepakt?</w:t>
            </w:r>
          </w:p>
        </w:tc>
        <w:tc>
          <w:tcPr>
            <w:tcW w:w="1531" w:type="dxa"/>
            <w:tcBorders>
              <w:top w:val="nil"/>
              <w:left w:val="nil"/>
              <w:bottom w:val="nil"/>
              <w:right w:val="nil"/>
            </w:tcBorders>
            <w:shd w:val="clear" w:color="auto" w:fill="8FC9E7"/>
          </w:tcPr>
          <w:p w:rsidR="00161286" w:rsidRDefault="009926B0">
            <w:pPr>
              <w:spacing w:after="3"/>
            </w:pPr>
            <w:r>
              <w:rPr>
                <w:b/>
                <w:color w:val="FFFFFF"/>
                <w:sz w:val="18"/>
              </w:rPr>
              <w:t xml:space="preserve">Beoogd </w:t>
            </w:r>
          </w:p>
          <w:p w:rsidR="00161286" w:rsidRDefault="009926B0">
            <w:pPr>
              <w:spacing w:after="3"/>
            </w:pPr>
            <w:r>
              <w:rPr>
                <w:b/>
                <w:color w:val="FFFFFF"/>
                <w:sz w:val="18"/>
              </w:rPr>
              <w:t xml:space="preserve">resultaat: </w:t>
            </w:r>
          </w:p>
          <w:p w:rsidR="00161286" w:rsidRDefault="009926B0">
            <w:pPr>
              <w:spacing w:after="0"/>
              <w:ind w:right="54"/>
            </w:pPr>
            <w:r>
              <w:rPr>
                <w:b/>
                <w:color w:val="FFFFFF"/>
                <w:sz w:val="18"/>
              </w:rPr>
              <w:t>wanneer zijn  we tevreden  (prestatie- indicatoren)?</w:t>
            </w:r>
          </w:p>
        </w:tc>
        <w:tc>
          <w:tcPr>
            <w:tcW w:w="1531" w:type="dxa"/>
            <w:tcBorders>
              <w:top w:val="nil"/>
              <w:left w:val="nil"/>
              <w:bottom w:val="nil"/>
              <w:right w:val="nil"/>
            </w:tcBorders>
            <w:shd w:val="clear" w:color="auto" w:fill="8FC9E7"/>
          </w:tcPr>
          <w:p w:rsidR="00161286" w:rsidRDefault="009926B0">
            <w:pPr>
              <w:spacing w:after="0"/>
            </w:pPr>
            <w:r>
              <w:rPr>
                <w:b/>
                <w:color w:val="FFFFFF"/>
                <w:sz w:val="18"/>
              </w:rPr>
              <w:t>Wie gaat het doen?</w:t>
            </w:r>
          </w:p>
        </w:tc>
        <w:tc>
          <w:tcPr>
            <w:tcW w:w="1162" w:type="dxa"/>
            <w:tcBorders>
              <w:top w:val="nil"/>
              <w:left w:val="nil"/>
              <w:bottom w:val="nil"/>
              <w:right w:val="nil"/>
            </w:tcBorders>
            <w:shd w:val="clear" w:color="auto" w:fill="8FC9E7"/>
          </w:tcPr>
          <w:p w:rsidR="00161286" w:rsidRDefault="009926B0">
            <w:pPr>
              <w:spacing w:after="0"/>
            </w:pPr>
            <w:r>
              <w:rPr>
                <w:b/>
                <w:color w:val="FFFFFF"/>
                <w:sz w:val="18"/>
              </w:rPr>
              <w:t>Planning</w:t>
            </w:r>
          </w:p>
        </w:tc>
        <w:tc>
          <w:tcPr>
            <w:tcW w:w="1162" w:type="dxa"/>
            <w:tcBorders>
              <w:top w:val="nil"/>
              <w:left w:val="nil"/>
              <w:bottom w:val="nil"/>
              <w:right w:val="nil"/>
            </w:tcBorders>
            <w:shd w:val="clear" w:color="auto" w:fill="8FC9E7"/>
          </w:tcPr>
          <w:p w:rsidR="00161286" w:rsidRDefault="009926B0">
            <w:pPr>
              <w:spacing w:after="0"/>
            </w:pPr>
            <w:r>
              <w:rPr>
                <w:b/>
                <w:color w:val="FFFFFF"/>
                <w:sz w:val="18"/>
              </w:rPr>
              <w:t>Kosten</w:t>
            </w:r>
          </w:p>
        </w:tc>
      </w:tr>
      <w:tr w:rsidR="00161286" w:rsidRPr="00482D15" w:rsidTr="00482D15">
        <w:trPr>
          <w:trHeight w:val="284"/>
        </w:trPr>
        <w:tc>
          <w:tcPr>
            <w:tcW w:w="1530" w:type="dxa"/>
            <w:tcBorders>
              <w:top w:val="nil"/>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nil"/>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nil"/>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nil"/>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r>
      <w:tr w:rsidR="00161286" w:rsidRPr="00482D15" w:rsidTr="00482D1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r>
      <w:tr w:rsidR="00161286" w:rsidRPr="00482D15" w:rsidTr="00482D1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r>
      <w:tr w:rsidR="00161286" w:rsidRPr="00482D15" w:rsidTr="00482D1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r>
      <w:tr w:rsidR="00161286" w:rsidRPr="00482D15" w:rsidTr="00482D1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r>
      <w:tr w:rsidR="00161286" w:rsidRPr="00482D15" w:rsidTr="00482D1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r>
      <w:tr w:rsidR="00161286" w:rsidRPr="00482D15" w:rsidTr="00482D1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r>
      <w:tr w:rsidR="00161286" w:rsidRPr="00482D15" w:rsidTr="00482D1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r>
      <w:tr w:rsidR="00161286" w:rsidRPr="00482D15" w:rsidTr="00482D1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r>
      <w:tr w:rsidR="00161286" w:rsidRPr="00482D15" w:rsidTr="00482D1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r>
      <w:tr w:rsidR="00161286" w:rsidRPr="00482D15" w:rsidTr="00482D1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r>
      <w:tr w:rsidR="00161286" w:rsidRPr="00482D15" w:rsidTr="00482D15">
        <w:trPr>
          <w:trHeight w:val="284"/>
        </w:trPr>
        <w:tc>
          <w:tcPr>
            <w:tcW w:w="1530"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531"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c>
          <w:tcPr>
            <w:tcW w:w="1162" w:type="dxa"/>
            <w:tcBorders>
              <w:top w:val="single" w:sz="4" w:space="0" w:color="8FC9E7"/>
              <w:left w:val="single" w:sz="4" w:space="0" w:color="8FC9E7"/>
              <w:bottom w:val="single" w:sz="4" w:space="0" w:color="8FC9E7"/>
              <w:right w:val="single" w:sz="4" w:space="0" w:color="8FC9E7"/>
            </w:tcBorders>
            <w:shd w:val="clear" w:color="auto" w:fill="FFFFFF"/>
          </w:tcPr>
          <w:p w:rsidR="00161286" w:rsidRPr="00482D15" w:rsidRDefault="00161286" w:rsidP="00482D15">
            <w:pPr>
              <w:snapToGrid w:val="0"/>
              <w:spacing w:line="240" w:lineRule="auto"/>
              <w:rPr>
                <w:rFonts w:asciiTheme="minorHAnsi" w:hAnsiTheme="minorHAnsi" w:cstheme="minorHAnsi"/>
                <w:sz w:val="16"/>
                <w:szCs w:val="16"/>
              </w:rPr>
            </w:pPr>
          </w:p>
        </w:tc>
      </w:tr>
      <w:tr w:rsidR="00161286" w:rsidTr="00482D15">
        <w:trPr>
          <w:trHeight w:val="360"/>
        </w:trPr>
        <w:tc>
          <w:tcPr>
            <w:tcW w:w="1530" w:type="dxa"/>
            <w:tcBorders>
              <w:top w:val="single" w:sz="4" w:space="0" w:color="8FC9E7"/>
              <w:left w:val="single" w:sz="4" w:space="0" w:color="8FC9E7"/>
              <w:bottom w:val="nil"/>
              <w:right w:val="single" w:sz="4" w:space="0" w:color="8FC9E7"/>
            </w:tcBorders>
            <w:shd w:val="clear" w:color="auto" w:fill="FFFFFF"/>
          </w:tcPr>
          <w:p w:rsidR="00161286" w:rsidRDefault="00161286"/>
        </w:tc>
        <w:tc>
          <w:tcPr>
            <w:tcW w:w="1531" w:type="dxa"/>
            <w:tcBorders>
              <w:top w:val="single" w:sz="4" w:space="0" w:color="8FC9E7"/>
              <w:left w:val="single" w:sz="4" w:space="0" w:color="8FC9E7"/>
              <w:bottom w:val="nil"/>
              <w:right w:val="single" w:sz="4" w:space="0" w:color="8FC9E7"/>
            </w:tcBorders>
            <w:shd w:val="clear" w:color="auto" w:fill="FFFFFF"/>
          </w:tcPr>
          <w:p w:rsidR="00161286" w:rsidRDefault="00161286"/>
        </w:tc>
        <w:tc>
          <w:tcPr>
            <w:tcW w:w="1531" w:type="dxa"/>
            <w:tcBorders>
              <w:top w:val="single" w:sz="4" w:space="0" w:color="8FC9E7"/>
              <w:left w:val="single" w:sz="4" w:space="0" w:color="8FC9E7"/>
              <w:bottom w:val="nil"/>
              <w:right w:val="single" w:sz="4" w:space="0" w:color="8FC9E7"/>
            </w:tcBorders>
            <w:shd w:val="clear" w:color="auto" w:fill="FFFFFF"/>
          </w:tcPr>
          <w:p w:rsidR="00161286" w:rsidRDefault="00161286"/>
        </w:tc>
        <w:tc>
          <w:tcPr>
            <w:tcW w:w="1531" w:type="dxa"/>
            <w:tcBorders>
              <w:top w:val="single" w:sz="4" w:space="0" w:color="8FC9E7"/>
              <w:left w:val="single" w:sz="4" w:space="0" w:color="8FC9E7"/>
              <w:bottom w:val="nil"/>
              <w:right w:val="single" w:sz="4" w:space="0" w:color="8FC9E7"/>
            </w:tcBorders>
            <w:shd w:val="clear" w:color="auto" w:fill="FFFFFF"/>
          </w:tcPr>
          <w:p w:rsidR="00161286" w:rsidRDefault="00161286"/>
        </w:tc>
        <w:tc>
          <w:tcPr>
            <w:tcW w:w="1531" w:type="dxa"/>
            <w:tcBorders>
              <w:top w:val="single" w:sz="4" w:space="0" w:color="8FC9E7"/>
              <w:left w:val="single" w:sz="4" w:space="0" w:color="8FC9E7"/>
              <w:bottom w:val="nil"/>
              <w:right w:val="single" w:sz="4" w:space="0" w:color="8FC9E7"/>
            </w:tcBorders>
            <w:shd w:val="clear" w:color="auto" w:fill="FFFFFF"/>
          </w:tcPr>
          <w:p w:rsidR="00161286" w:rsidRDefault="00161286"/>
        </w:tc>
        <w:tc>
          <w:tcPr>
            <w:tcW w:w="1162" w:type="dxa"/>
            <w:tcBorders>
              <w:top w:val="single" w:sz="4" w:space="0" w:color="8FC9E7"/>
              <w:left w:val="single" w:sz="4" w:space="0" w:color="8FC9E7"/>
              <w:bottom w:val="nil"/>
              <w:right w:val="single" w:sz="4" w:space="0" w:color="8FC9E7"/>
            </w:tcBorders>
            <w:shd w:val="clear" w:color="auto" w:fill="FFFFFF"/>
          </w:tcPr>
          <w:p w:rsidR="00161286" w:rsidRDefault="00161286"/>
        </w:tc>
        <w:tc>
          <w:tcPr>
            <w:tcW w:w="1162" w:type="dxa"/>
            <w:tcBorders>
              <w:top w:val="single" w:sz="4" w:space="0" w:color="8FC9E7"/>
              <w:left w:val="single" w:sz="4" w:space="0" w:color="8FC9E7"/>
              <w:bottom w:val="nil"/>
              <w:right w:val="single" w:sz="4" w:space="0" w:color="8FC9E7"/>
            </w:tcBorders>
            <w:shd w:val="clear" w:color="auto" w:fill="FFFFFF"/>
          </w:tcPr>
          <w:p w:rsidR="00161286" w:rsidRDefault="00161286"/>
        </w:tc>
      </w:tr>
    </w:tbl>
    <w:p w:rsidR="00482D15" w:rsidRDefault="00482D15">
      <w:pPr>
        <w:pStyle w:val="Kop1"/>
        <w:spacing w:after="60" w:line="259" w:lineRule="auto"/>
        <w:ind w:left="-5"/>
        <w:rPr>
          <w:sz w:val="42"/>
          <w:u w:val="single" w:color="E06F00"/>
        </w:rPr>
      </w:pPr>
    </w:p>
    <w:p w:rsidR="00161286" w:rsidRDefault="009926B0">
      <w:pPr>
        <w:pStyle w:val="Kop1"/>
        <w:spacing w:after="60" w:line="259" w:lineRule="auto"/>
        <w:ind w:left="-5"/>
      </w:pPr>
      <w:r>
        <w:rPr>
          <w:sz w:val="42"/>
          <w:u w:val="single" w:color="E06F00"/>
        </w:rPr>
        <w:t>BIJLAGE 6</w:t>
      </w:r>
    </w:p>
    <w:p w:rsidR="00161286" w:rsidRDefault="009926B0">
      <w:pPr>
        <w:spacing w:after="534" w:line="265" w:lineRule="auto"/>
        <w:ind w:left="-5" w:hanging="10"/>
      </w:pPr>
      <w:r>
        <w:rPr>
          <w:b/>
          <w:color w:val="E06F00"/>
          <w:sz w:val="38"/>
        </w:rPr>
        <w:t>&gt;</w:t>
      </w:r>
      <w:r>
        <w:rPr>
          <w:color w:val="1C1C1B"/>
          <w:sz w:val="20"/>
        </w:rPr>
        <w:t xml:space="preserve"> </w:t>
      </w:r>
      <w:hyperlink r:id="rId29">
        <w:r>
          <w:rPr>
            <w:color w:val="007BCA"/>
            <w:sz w:val="20"/>
            <w:u w:val="single" w:color="007BCA"/>
          </w:rPr>
          <w:t>Download hier de versie die je kunt bewerken in Word</w:t>
        </w:r>
      </w:hyperlink>
    </w:p>
    <w:p w:rsidR="00161286" w:rsidRDefault="009926B0">
      <w:pPr>
        <w:pStyle w:val="Kop2"/>
        <w:spacing w:after="236" w:line="256" w:lineRule="auto"/>
        <w:ind w:left="1143" w:right="857"/>
      </w:pPr>
      <w:r>
        <w:rPr>
          <w:color w:val="E06F00"/>
          <w:sz w:val="28"/>
        </w:rPr>
        <w:t>Kwaliteitskader ‘Werken aan veiligheid voor lokale (wijk)teams en gemeenten’</w:t>
      </w:r>
    </w:p>
    <w:p w:rsidR="00161286" w:rsidRDefault="009926B0">
      <w:pPr>
        <w:spacing w:after="2" w:line="265" w:lineRule="auto"/>
        <w:ind w:left="1144" w:hanging="10"/>
      </w:pPr>
      <w:r>
        <w:rPr>
          <w:color w:val="1C1C1B"/>
        </w:rPr>
        <w:t>Eenduidige invulling van een aantal kernbegrippen</w:t>
      </w:r>
    </w:p>
    <w:p w:rsidR="00161286" w:rsidRDefault="009926B0">
      <w:pPr>
        <w:spacing w:after="483"/>
        <w:ind w:right="990"/>
        <w:jc w:val="right"/>
      </w:pPr>
      <w:r>
        <w:rPr>
          <w:color w:val="1C1C1B"/>
          <w:sz w:val="18"/>
        </w:rPr>
        <w:t>Oktober 2021</w:t>
      </w:r>
    </w:p>
    <w:p w:rsidR="00161286" w:rsidRDefault="009926B0">
      <w:pPr>
        <w:pStyle w:val="Kop3"/>
        <w:ind w:left="1129"/>
      </w:pPr>
      <w:r>
        <w:t>Inleiding</w:t>
      </w:r>
    </w:p>
    <w:p w:rsidR="00161286" w:rsidRDefault="009926B0">
      <w:pPr>
        <w:spacing w:after="3" w:line="265" w:lineRule="auto"/>
        <w:ind w:left="1143" w:right="973" w:hanging="10"/>
      </w:pPr>
      <w:r>
        <w:rPr>
          <w:color w:val="1C1C1B"/>
          <w:sz w:val="18"/>
        </w:rPr>
        <w:t xml:space="preserve">Dit is een document van het </w:t>
      </w:r>
      <w:r>
        <w:rPr>
          <w:i/>
          <w:color w:val="1C1C1B"/>
          <w:sz w:val="18"/>
        </w:rPr>
        <w:t>Expertt eam Implementatie Kwaliteitskader</w:t>
      </w:r>
      <w:r>
        <w:rPr>
          <w:color w:val="1C1C1B"/>
          <w:sz w:val="18"/>
        </w:rPr>
        <w:t xml:space="preserve">. Het expertt eam bestaat uit Trijntje </w:t>
      </w:r>
    </w:p>
    <w:p w:rsidR="00161286" w:rsidRDefault="009926B0">
      <w:pPr>
        <w:spacing w:after="238" w:line="265" w:lineRule="auto"/>
        <w:ind w:left="1143" w:right="973" w:hanging="10"/>
      </w:pPr>
      <w:r>
        <w:rPr>
          <w:color w:val="1C1C1B"/>
          <w:sz w:val="18"/>
        </w:rPr>
        <w:t>Kootstra, Katrien de Vaan, Els Van der Weele, Caroline Mobach en Marieke Blanken. Zij ondersteunen in 2021 regio’s bij de implementatie van bovengenoemd kwaliteitskader. Dat kader bevat een aantal begrippen die een centrale plaats innemen in de aanpak van huiselijk geweld en kindermishandeling (HGKM). Een goede implementatie van het kwaliteitskader is gebaat bij een eenduidige invulling van deze begrippen door alle betrokken partijen. Gezien de vele betrokken partijen uit verschillende domeinen is dat niet vanzelfsprekend.</w:t>
      </w:r>
    </w:p>
    <w:p w:rsidR="00161286" w:rsidRDefault="009926B0">
      <w:pPr>
        <w:spacing w:after="238" w:line="265" w:lineRule="auto"/>
        <w:ind w:left="1143" w:right="1086" w:hanging="10"/>
      </w:pPr>
      <w:r>
        <w:rPr>
          <w:color w:val="1C1C1B"/>
          <w:sz w:val="18"/>
        </w:rPr>
        <w:t>Dit document is niet bedoeld als absolute waarheid. Het is bedoeld als handreiking om het gesprek tussen bij de aanpak van HGKM betrokken partijen te ondersteunen. Door met elkaar in gesprek te gaan over wat precies moet worden verstaan onder regie, systeemgericht werken en zicht op veiligheid, defi niëren betrokken partijen met elkaar de basis voor de aanpak van HGKM op lokaal niveau. Die defi nities kunnen vervolgens richting geven aan de ontwikkeling van die aanpak.</w:t>
      </w:r>
    </w:p>
    <w:p w:rsidR="00161286" w:rsidRDefault="009926B0">
      <w:pPr>
        <w:spacing w:after="238" w:line="265" w:lineRule="auto"/>
        <w:ind w:left="1143" w:right="973" w:hanging="10"/>
      </w:pPr>
      <w:r>
        <w:rPr>
          <w:color w:val="1C1C1B"/>
          <w:sz w:val="18"/>
        </w:rPr>
        <w:t>Deze uitwerking is gebaseerd op actuele kennis over wat nodig is voor een eff ectieve aanpak van HGKM. Hieronder is een overzicht opgenomen van de belangrijkste schrift elijke bronnen die zijn gebruikt. Daarnaast hebben de leden van het expertt eam uiteraard ook gebruik gemaakt van hun ervaring en expertise.</w:t>
      </w:r>
    </w:p>
    <w:p w:rsidR="00161286" w:rsidRDefault="009926B0">
      <w:pPr>
        <w:spacing w:after="0"/>
        <w:ind w:left="1129" w:hanging="10"/>
      </w:pPr>
      <w:r>
        <w:rPr>
          <w:b/>
          <w:color w:val="007BCA"/>
        </w:rPr>
        <w:t>Bronnen:</w:t>
      </w:r>
    </w:p>
    <w:p w:rsidR="00161286" w:rsidRDefault="009926B0">
      <w:pPr>
        <w:numPr>
          <w:ilvl w:val="0"/>
          <w:numId w:val="10"/>
        </w:numPr>
        <w:spacing w:after="3" w:line="262" w:lineRule="auto"/>
        <w:ind w:right="871" w:hanging="170"/>
      </w:pPr>
      <w:r>
        <w:rPr>
          <w:color w:val="1C1C1B"/>
          <w:sz w:val="18"/>
        </w:rPr>
        <w:t>De visi</w:t>
      </w:r>
      <w:hyperlink r:id="rId30">
        <w:r>
          <w:rPr>
            <w:color w:val="1C1C1B"/>
            <w:sz w:val="18"/>
          </w:rPr>
          <w:t xml:space="preserve">e </w:t>
        </w:r>
      </w:hyperlink>
      <w:hyperlink r:id="rId31">
        <w:r>
          <w:rPr>
            <w:i/>
            <w:color w:val="007BCA"/>
            <w:sz w:val="18"/>
            <w:u w:val="single" w:color="007BCA"/>
          </w:rPr>
          <w:t>Eerst samenwerken voor veiligheid, dan samenwerken voor risicogestuurde zorg</w:t>
        </w:r>
      </w:hyperlink>
      <w:hyperlink r:id="rId32">
        <w:r>
          <w:rPr>
            <w:color w:val="1C1C1B"/>
            <w:sz w:val="18"/>
          </w:rPr>
          <w:t xml:space="preserve"> (</w:t>
        </w:r>
      </w:hyperlink>
      <w:r>
        <w:rPr>
          <w:color w:val="1C1C1B"/>
          <w:sz w:val="18"/>
        </w:rPr>
        <w:t>Linda Vogtländer &amp; Sander van Arum, 2016).</w:t>
      </w:r>
    </w:p>
    <w:p w:rsidR="00161286" w:rsidRDefault="009926B0">
      <w:pPr>
        <w:numPr>
          <w:ilvl w:val="0"/>
          <w:numId w:val="10"/>
        </w:numPr>
        <w:spacing w:after="3" w:line="265" w:lineRule="auto"/>
        <w:ind w:right="871" w:hanging="170"/>
      </w:pPr>
      <w:r>
        <w:rPr>
          <w:color w:val="1C1C1B"/>
          <w:sz w:val="18"/>
        </w:rPr>
        <w:t xml:space="preserve">Onderzoek van het Toezicht Sociaal Domein naar de aanpak van HGKM in het lokaal veld na overdracht door Veilig Thuis </w:t>
      </w:r>
      <w:hyperlink r:id="rId33">
        <w:r>
          <w:rPr>
            <w:color w:val="1C1C1B"/>
            <w:sz w:val="18"/>
          </w:rPr>
          <w:t>(‘</w:t>
        </w:r>
      </w:hyperlink>
      <w:hyperlink r:id="rId34">
        <w:r>
          <w:rPr>
            <w:color w:val="007BCA"/>
            <w:sz w:val="18"/>
            <w:u w:val="single" w:color="007BCA"/>
          </w:rPr>
          <w:t>Lokaal Netwerk na Veilig Thuis</w:t>
        </w:r>
      </w:hyperlink>
      <w:hyperlink r:id="rId35">
        <w:r>
          <w:rPr>
            <w:color w:val="1C1C1B"/>
            <w:sz w:val="18"/>
          </w:rPr>
          <w:t>’).</w:t>
        </w:r>
      </w:hyperlink>
    </w:p>
    <w:p w:rsidR="00161286" w:rsidRDefault="009926B0">
      <w:pPr>
        <w:numPr>
          <w:ilvl w:val="0"/>
          <w:numId w:val="10"/>
        </w:numPr>
        <w:spacing w:after="3" w:line="265" w:lineRule="auto"/>
        <w:ind w:right="871" w:hanging="170"/>
      </w:pPr>
      <w:r>
        <w:rPr>
          <w:color w:val="1C1C1B"/>
          <w:sz w:val="18"/>
        </w:rPr>
        <w:t>De uitwerking va</w:t>
      </w:r>
      <w:hyperlink r:id="rId36">
        <w:r>
          <w:rPr>
            <w:color w:val="1C1C1B"/>
            <w:sz w:val="18"/>
          </w:rPr>
          <w:t xml:space="preserve">n </w:t>
        </w:r>
      </w:hyperlink>
      <w:hyperlink r:id="rId37">
        <w:r>
          <w:rPr>
            <w:color w:val="007BCA"/>
            <w:sz w:val="18"/>
            <w:u w:val="single" w:color="007BCA"/>
          </w:rPr>
          <w:t>het begrip ‘regie’</w:t>
        </w:r>
      </w:hyperlink>
      <w:hyperlink r:id="rId38">
        <w:r>
          <w:rPr>
            <w:color w:val="1C1C1B"/>
            <w:sz w:val="18"/>
          </w:rPr>
          <w:t xml:space="preserve"> d</w:t>
        </w:r>
      </w:hyperlink>
      <w:r>
        <w:rPr>
          <w:color w:val="1C1C1B"/>
          <w:sz w:val="18"/>
        </w:rPr>
        <w:t>oor het Toezicht Sociaal Domein.</w:t>
      </w:r>
    </w:p>
    <w:p w:rsidR="00161286" w:rsidRDefault="009926B0">
      <w:pPr>
        <w:numPr>
          <w:ilvl w:val="0"/>
          <w:numId w:val="10"/>
        </w:numPr>
        <w:spacing w:after="3" w:line="262" w:lineRule="auto"/>
        <w:ind w:right="871" w:hanging="170"/>
      </w:pPr>
      <w:r>
        <w:rPr>
          <w:color w:val="1C1C1B"/>
          <w:sz w:val="18"/>
        </w:rPr>
        <w:t xml:space="preserve">Het onderzoek </w:t>
      </w:r>
      <w:hyperlink r:id="rId39">
        <w:r>
          <w:rPr>
            <w:i/>
            <w:color w:val="007BCA"/>
            <w:sz w:val="18"/>
            <w:u w:val="single" w:color="007BCA"/>
          </w:rPr>
          <w:t>Kwestie van lange adem. Kan huiselijk geweld echt stoppen?</w:t>
        </w:r>
      </w:hyperlink>
      <w:hyperlink r:id="rId40">
        <w:r>
          <w:rPr>
            <w:color w:val="1C1C1B"/>
            <w:sz w:val="18"/>
          </w:rPr>
          <w:t xml:space="preserve"> v</w:t>
        </w:r>
      </w:hyperlink>
      <w:r>
        <w:rPr>
          <w:color w:val="1C1C1B"/>
          <w:sz w:val="18"/>
        </w:rPr>
        <w:t>an het Verwey-Jonker Instituut (2020).</w:t>
      </w:r>
    </w:p>
    <w:p w:rsidR="00161286" w:rsidRDefault="009926B0">
      <w:pPr>
        <w:pStyle w:val="Kop2"/>
        <w:spacing w:after="113" w:line="256" w:lineRule="auto"/>
        <w:ind w:left="1143" w:right="857"/>
      </w:pPr>
      <w:r>
        <w:rPr>
          <w:color w:val="E06F00"/>
          <w:sz w:val="28"/>
        </w:rPr>
        <w:t>Regie</w:t>
      </w:r>
    </w:p>
    <w:p w:rsidR="00161286" w:rsidRDefault="009926B0">
      <w:pPr>
        <w:spacing w:after="62" w:line="265" w:lineRule="auto"/>
        <w:ind w:left="1143" w:right="973" w:hanging="10"/>
      </w:pPr>
      <w:r>
        <w:rPr>
          <w:color w:val="1C1C1B"/>
          <w:sz w:val="18"/>
        </w:rPr>
        <w:t>Regie in casuïstiek HGKM is regie op de casus èn regie op het proces. Juist bij kwetsbare (gezins</w:t>
      </w:r>
      <w:r>
        <w:rPr>
          <w:color w:val="1C1C1B"/>
          <w:sz w:val="16"/>
          <w:vertAlign w:val="superscript"/>
        </w:rPr>
        <w:footnoteReference w:id="1"/>
      </w:r>
      <w:r>
        <w:rPr>
          <w:color w:val="1C1C1B"/>
          <w:sz w:val="18"/>
        </w:rPr>
        <w:t xml:space="preserve">)situaties is regie van groot belang, omdat hier veel verschillende problematiek speelt op meerdere leefgebieden en het geweld vaak langdurig aanwezig en heft ig van aard is. Bij voorkeur worden casusregie en procesregie niet uit elkaar gehaald maar voert één regisseur beide vormen van regie uit. Casusregie richt zich vooral op het gezin zelf en de inhoud van de hulpverlening en procesregie richt zich op de </w:t>
      </w:r>
      <w:r>
        <w:rPr>
          <w:color w:val="1C1C1B"/>
          <w:sz w:val="18"/>
        </w:rPr>
        <w:lastRenderedPageBreak/>
        <w:t>verschillende netwerkpartners die bij het gezin betrokken zijn en hun onderlinge afstemming. Alleen wanneer de regisseur er met betrokken netwerkpartners echt niet uitkomt en het nodig is om een doorbraak te organiseren, kan het wenselijk zijn om een iemand te betrekken die de regie over het proces op zich neemt. Dit zou een uitzonderlijke situatie moeten zijn.</w:t>
      </w:r>
    </w:p>
    <w:tbl>
      <w:tblPr>
        <w:tblStyle w:val="TableGrid"/>
        <w:tblW w:w="7710" w:type="dxa"/>
        <w:tblInd w:w="1139" w:type="dxa"/>
        <w:tblCellMar>
          <w:top w:w="55" w:type="dxa"/>
          <w:left w:w="80" w:type="dxa"/>
          <w:right w:w="115" w:type="dxa"/>
        </w:tblCellMar>
        <w:tblLook w:val="04A0" w:firstRow="1" w:lastRow="0" w:firstColumn="1" w:lastColumn="0" w:noHBand="0" w:noVBand="1"/>
      </w:tblPr>
      <w:tblGrid>
        <w:gridCol w:w="7710"/>
      </w:tblGrid>
      <w:tr w:rsidR="00161286">
        <w:trPr>
          <w:trHeight w:val="295"/>
        </w:trPr>
        <w:tc>
          <w:tcPr>
            <w:tcW w:w="7710" w:type="dxa"/>
            <w:tcBorders>
              <w:top w:val="single" w:sz="4" w:space="0" w:color="8FC9E7"/>
              <w:left w:val="single" w:sz="4" w:space="0" w:color="8FC9E7"/>
              <w:bottom w:val="single" w:sz="4" w:space="0" w:color="8FC9E7"/>
              <w:right w:val="single" w:sz="4" w:space="0" w:color="8FC9E7"/>
            </w:tcBorders>
            <w:shd w:val="clear" w:color="auto" w:fill="8FC9E7"/>
          </w:tcPr>
          <w:p w:rsidR="00161286" w:rsidRDefault="009926B0">
            <w:pPr>
              <w:spacing w:after="0"/>
            </w:pPr>
            <w:r>
              <w:rPr>
                <w:b/>
                <w:color w:val="FFFFFF"/>
                <w:sz w:val="18"/>
              </w:rPr>
              <w:t>Regie op de casus:</w:t>
            </w:r>
          </w:p>
        </w:tc>
      </w:tr>
      <w:tr w:rsidR="00161286">
        <w:trPr>
          <w:trHeight w:val="4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Contact leggen en motivatie voor hulp op een manier die passend is bij de betrokkenen. Motivatie voor hulp moet blijvend worden uitgevraagd en gemonitord.</w:t>
            </w:r>
          </w:p>
        </w:tc>
      </w:tr>
      <w:tr w:rsidR="00161286">
        <w:trPr>
          <w:trHeight w:val="4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Centraal contactpersoon zijn voor betrokkenen, inclusief grenzen stellen en ingrijpen, maar ook steunend zijn voor alle betrokkenen. Werkt altijd samen vanuit partnerschap met de betrokkenen.</w:t>
            </w:r>
          </w:p>
        </w:tc>
      </w:tr>
      <w:tr w:rsidR="00161286">
        <w:trPr>
          <w:trHeight w:val="4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Systeemgericht in kaart brengen van problematiek, maken van een risico-inschatt ing, inschatt en zelfredzaamheid en dat met onderliggende oorzaken samenbrengen in een integrale probleemanalyse.</w:t>
            </w:r>
          </w:p>
        </w:tc>
      </w:tr>
      <w:tr w:rsidR="00161286">
        <w:trPr>
          <w:trHeight w:val="4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Het overbruggen van de scheiding tussen zorg &amp; veiligheid, tussen het perspectief op jeugd en het perspectief op volwassenen, en tussen vrijwillig en verplicht kader.</w:t>
            </w:r>
          </w:p>
        </w:tc>
      </w:tr>
      <w:tr w:rsidR="00161286">
        <w:trPr>
          <w:trHeight w:val="6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Coördinatie op gefaseerde samenwerking aan veilig: totstandkoming en uitvoering veiligheidsplan, hulpverleningsplan en herstelplan waarbij het plan bekend is bij en ondersteund wordt door de cliënten. Vertalen naar één simpel plan voor het gezin (‘op de koelkast’).</w:t>
            </w:r>
          </w:p>
        </w:tc>
      </w:tr>
      <w:tr w:rsidR="00161286">
        <w:trPr>
          <w:trHeight w:val="8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Toe leiden van betrokkenen naar de vormen van ondersteuning, hulp en behandeling die in het veiligheidsplan, hulpverleningsplan en/of herstelplan zijn vastgelegd Periodiek met de betrokkenen evalueren van de kwaliteit en het eff ect van de ondersteuning, hulp en behandeling. De veiligheid bewaken door zicht te houden op veiligheid. Ingrijpen waar nodig en eventueel terugkoppelen aan Veilig Thuis.</w:t>
            </w:r>
          </w:p>
        </w:tc>
      </w:tr>
      <w:tr w:rsidR="00161286">
        <w:trPr>
          <w:trHeight w:val="6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 xml:space="preserve">Hiertoe samenwerken met zowel de betrokkenen als het (professionele en informele) netwerk daaromheen en eventueel ervaringsdeskundigen. De regisseur werkt refl ectief, overlegt met collega’s en herkent de grenzen van het eigen specialisme. </w:t>
            </w:r>
          </w:p>
        </w:tc>
      </w:tr>
      <w:tr w:rsidR="00161286">
        <w:trPr>
          <w:trHeight w:val="295"/>
        </w:trPr>
        <w:tc>
          <w:tcPr>
            <w:tcW w:w="7710" w:type="dxa"/>
            <w:tcBorders>
              <w:top w:val="single" w:sz="4" w:space="0" w:color="8FC9E7"/>
              <w:left w:val="single" w:sz="4" w:space="0" w:color="8FC9E7"/>
              <w:bottom w:val="single" w:sz="4" w:space="0" w:color="8FC9E7"/>
              <w:right w:val="single" w:sz="4" w:space="0" w:color="8FC9E7"/>
            </w:tcBorders>
            <w:shd w:val="clear" w:color="auto" w:fill="8FC9E7"/>
          </w:tcPr>
          <w:p w:rsidR="00161286" w:rsidRDefault="009926B0">
            <w:pPr>
              <w:spacing w:after="0"/>
            </w:pPr>
            <w:r>
              <w:rPr>
                <w:b/>
                <w:color w:val="FFFFFF"/>
                <w:sz w:val="18"/>
              </w:rPr>
              <w:t>Integraal onderdeel daarvan: regie op het proces</w:t>
            </w:r>
          </w:p>
        </w:tc>
      </w:tr>
      <w:tr w:rsidR="00161286">
        <w:trPr>
          <w:trHeight w:val="8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ind w:right="199"/>
            </w:pPr>
            <w:r>
              <w:rPr>
                <w:color w:val="1C1C1B"/>
                <w:sz w:val="16"/>
              </w:rPr>
              <w:t>Op elkaar afstemmen van alle verschillende interventies die worden uitgevoerd door betrokken netwerkpartners om het geweld te stoppen, het risico op geweld te verminderen en/of het herstel te bevorderen. Het gaat hierbij om interventies die zowel vrijwillig zijn afgesproken (hulpaanbod) als gedwongen kunnen zijn opgelegd door de rechter, de offi  cier van justitie of de burgemeester.</w:t>
            </w:r>
          </w:p>
        </w:tc>
      </w:tr>
      <w:tr w:rsidR="00161286">
        <w:trPr>
          <w:trHeight w:val="2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Zorgdragen dat professionals hun aanpak en interventies op elkaar afstemmen.</w:t>
            </w:r>
          </w:p>
        </w:tc>
      </w:tr>
      <w:tr w:rsidR="00161286">
        <w:trPr>
          <w:trHeight w:val="4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ind w:right="21"/>
            </w:pPr>
            <w:r>
              <w:rPr>
                <w:color w:val="1C1C1B"/>
                <w:sz w:val="16"/>
              </w:rPr>
              <w:t>Afspreken van navolgbare processtappen en proactieve scenario’s: met betrokkenen en met netwerkpartners. Deze worden vastgelegd in het veiligheids-, hulpverlenings- en herstelplan.</w:t>
            </w:r>
          </w:p>
        </w:tc>
      </w:tr>
      <w:tr w:rsidR="00161286">
        <w:trPr>
          <w:trHeight w:val="2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Opschalen/escaleren/doorbraak realiseren als het vastloopt.</w:t>
            </w:r>
          </w:p>
        </w:tc>
      </w:tr>
      <w:tr w:rsidR="00161286">
        <w:trPr>
          <w:trHeight w:val="2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Monitoren van het verloop van interventies en de samenwerking op vooraf afgesproken resultaten.</w:t>
            </w:r>
          </w:p>
        </w:tc>
      </w:tr>
      <w:tr w:rsidR="00161286">
        <w:trPr>
          <w:trHeight w:val="6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De basis ligt in het samen met cliënten en uitvoerend professionals opgestelde veiligheids-, hulpverlenings- en herstelplan. Dat biedt de kaders die de regisseur bewaakt. Deze worden gedurende het proces aangepast en bijgesteld waar nodig.</w:t>
            </w:r>
          </w:p>
        </w:tc>
      </w:tr>
    </w:tbl>
    <w:p w:rsidR="00161286" w:rsidRDefault="009926B0">
      <w:pPr>
        <w:pStyle w:val="Kop3"/>
        <w:ind w:left="1129"/>
      </w:pPr>
      <w:r>
        <w:t>Randvoorwaarden voor regie</w:t>
      </w:r>
    </w:p>
    <w:p w:rsidR="00161286" w:rsidRDefault="009926B0">
      <w:pPr>
        <w:numPr>
          <w:ilvl w:val="0"/>
          <w:numId w:val="11"/>
        </w:numPr>
        <w:spacing w:after="3" w:line="265" w:lineRule="auto"/>
        <w:ind w:right="973" w:hanging="170"/>
      </w:pPr>
      <w:r>
        <w:rPr>
          <w:color w:val="1C1C1B"/>
          <w:sz w:val="18"/>
        </w:rPr>
        <w:t>Bestuurlijk commitment van alle gemeenten èn alle betrokken netwerkpartners over de invulling van regie. Gebaseerd op een gezamenlijk doel voor de aanpak van HGKM dat de positionering van de regisseur als centrale persoon in de hulpverlening in een casus faciliteert; en dat leidt tot bereidheid bij partners om samen te werken met de regisseur, los van formeel mandaat en zeggenschap.</w:t>
      </w:r>
    </w:p>
    <w:p w:rsidR="00161286" w:rsidRDefault="009926B0">
      <w:pPr>
        <w:numPr>
          <w:ilvl w:val="0"/>
          <w:numId w:val="11"/>
        </w:numPr>
        <w:spacing w:after="3" w:line="265" w:lineRule="auto"/>
        <w:ind w:right="973" w:hanging="170"/>
      </w:pPr>
      <w:r>
        <w:rPr>
          <w:color w:val="1C1C1B"/>
          <w:sz w:val="18"/>
        </w:rPr>
        <w:t>Een competentieprofi el (regie voeren vereist specifi eke kennis en competenties, niet alleen op regievoering maar ook op veiligheid).</w:t>
      </w:r>
    </w:p>
    <w:p w:rsidR="00161286" w:rsidRDefault="009926B0">
      <w:pPr>
        <w:numPr>
          <w:ilvl w:val="0"/>
          <w:numId w:val="11"/>
        </w:numPr>
        <w:spacing w:after="3" w:line="265" w:lineRule="auto"/>
        <w:ind w:right="973" w:hanging="170"/>
      </w:pPr>
      <w:r>
        <w:rPr>
          <w:color w:val="1C1C1B"/>
          <w:sz w:val="18"/>
        </w:rPr>
        <w:t>Voldoende tijd voor de regisseur.</w:t>
      </w:r>
    </w:p>
    <w:p w:rsidR="00161286" w:rsidRDefault="009926B0">
      <w:pPr>
        <w:numPr>
          <w:ilvl w:val="0"/>
          <w:numId w:val="11"/>
        </w:numPr>
        <w:spacing w:after="3" w:line="265" w:lineRule="auto"/>
        <w:ind w:right="973" w:hanging="170"/>
      </w:pPr>
      <w:r>
        <w:rPr>
          <w:color w:val="1C1C1B"/>
          <w:sz w:val="18"/>
        </w:rPr>
        <w:t>Continuïteit: een regisseur is langdurig betrokken (zo lang de casus daar om vraagt) en regie is niet persoonsafh ankelijk (een gelijke invulling van regie binnen het lokaal veld en in de regio draagt daaraan bij).</w:t>
      </w:r>
    </w:p>
    <w:p w:rsidR="00161286" w:rsidRDefault="009926B0">
      <w:pPr>
        <w:numPr>
          <w:ilvl w:val="0"/>
          <w:numId w:val="11"/>
        </w:numPr>
        <w:spacing w:after="3" w:line="265" w:lineRule="auto"/>
        <w:ind w:right="973" w:hanging="170"/>
      </w:pPr>
      <w:r>
        <w:rPr>
          <w:color w:val="1C1C1B"/>
          <w:sz w:val="18"/>
        </w:rPr>
        <w:t>Duidelijkheid over in welk soort casuïstiek regie noodzakelijk is en wie deze rol vervult.</w:t>
      </w:r>
    </w:p>
    <w:p w:rsidR="00161286" w:rsidRDefault="009926B0">
      <w:pPr>
        <w:numPr>
          <w:ilvl w:val="0"/>
          <w:numId w:val="11"/>
        </w:numPr>
        <w:spacing w:after="3" w:line="265" w:lineRule="auto"/>
        <w:ind w:right="973" w:hanging="170"/>
      </w:pPr>
      <w:r>
        <w:rPr>
          <w:color w:val="1C1C1B"/>
          <w:sz w:val="18"/>
        </w:rPr>
        <w:t>Samenwerkingsafspraken, inclusief afspraken over informatie-uitwisseling.</w:t>
      </w:r>
    </w:p>
    <w:p w:rsidR="00161286" w:rsidRDefault="009926B0">
      <w:pPr>
        <w:numPr>
          <w:ilvl w:val="0"/>
          <w:numId w:val="11"/>
        </w:numPr>
        <w:spacing w:after="3" w:line="265" w:lineRule="auto"/>
        <w:ind w:right="973" w:hanging="170"/>
      </w:pPr>
      <w:r>
        <w:rPr>
          <w:color w:val="1C1C1B"/>
          <w:sz w:val="18"/>
        </w:rPr>
        <w:t>Mandaat om snel en rechtstreeks.</w:t>
      </w:r>
      <w:r>
        <w:br w:type="page"/>
      </w:r>
    </w:p>
    <w:p w:rsidR="00161286" w:rsidRDefault="009926B0">
      <w:pPr>
        <w:pStyle w:val="Kop2"/>
        <w:spacing w:after="4" w:line="256" w:lineRule="auto"/>
        <w:ind w:left="1143" w:right="857"/>
      </w:pPr>
      <w:r>
        <w:rPr>
          <w:color w:val="E06F00"/>
          <w:sz w:val="28"/>
        </w:rPr>
        <w:lastRenderedPageBreak/>
        <w:t>Systeemgericht werken</w:t>
      </w:r>
    </w:p>
    <w:tbl>
      <w:tblPr>
        <w:tblStyle w:val="TableGrid"/>
        <w:tblW w:w="7710" w:type="dxa"/>
        <w:tblInd w:w="1139" w:type="dxa"/>
        <w:tblCellMar>
          <w:top w:w="55" w:type="dxa"/>
          <w:left w:w="80" w:type="dxa"/>
          <w:right w:w="115" w:type="dxa"/>
        </w:tblCellMar>
        <w:tblLook w:val="04A0" w:firstRow="1" w:lastRow="0" w:firstColumn="1" w:lastColumn="0" w:noHBand="0" w:noVBand="1"/>
      </w:tblPr>
      <w:tblGrid>
        <w:gridCol w:w="7710"/>
      </w:tblGrid>
      <w:tr w:rsidR="00161286">
        <w:trPr>
          <w:trHeight w:val="295"/>
        </w:trPr>
        <w:tc>
          <w:tcPr>
            <w:tcW w:w="7710" w:type="dxa"/>
            <w:tcBorders>
              <w:top w:val="single" w:sz="4" w:space="0" w:color="8FC9E7"/>
              <w:left w:val="single" w:sz="4" w:space="0" w:color="8FC9E7"/>
              <w:bottom w:val="single" w:sz="4" w:space="0" w:color="8FC9E7"/>
              <w:right w:val="single" w:sz="4" w:space="0" w:color="8FC9E7"/>
            </w:tcBorders>
            <w:shd w:val="clear" w:color="auto" w:fill="8FC9E7"/>
          </w:tcPr>
          <w:p w:rsidR="00161286" w:rsidRDefault="009926B0">
            <w:pPr>
              <w:spacing w:after="0"/>
            </w:pPr>
            <w:r>
              <w:rPr>
                <w:b/>
                <w:color w:val="FFFFFF"/>
                <w:sz w:val="18"/>
              </w:rPr>
              <w:t>Systeemgericht werken vereist:</w:t>
            </w:r>
          </w:p>
        </w:tc>
      </w:tr>
      <w:tr w:rsidR="00161286">
        <w:trPr>
          <w:trHeight w:val="4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 xml:space="preserve">De aanpak is gericht op </w:t>
            </w:r>
            <w:r>
              <w:rPr>
                <w:color w:val="1C1C1B"/>
                <w:sz w:val="16"/>
                <w:u w:val="single" w:color="1C1C1B"/>
              </w:rPr>
              <w:t>alle</w:t>
            </w:r>
            <w:r>
              <w:rPr>
                <w:color w:val="1C1C1B"/>
                <w:sz w:val="16"/>
              </w:rPr>
              <w:t xml:space="preserve"> leden van het (gezins)systeem. Dat hoeft  niet zozeer in aanwezigheid van alle leden (bijvoorbeeld als iemand niet mee werkt), maar wel met inachtneming van alle leden (oog hebben voor iedereen).</w:t>
            </w:r>
          </w:p>
        </w:tc>
      </w:tr>
      <w:tr w:rsidR="00161286">
        <w:trPr>
          <w:trHeight w:val="6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LET OP: soms vormt de aard van het geweld een contra-indicatie voor een gezamenlijk traject (intiem terrorisme bijvoorbeeld); systeemgericht werken blijft  ook dan onontbeerlijk, maar zonder direct contact tussen de directbetrokkenen.</w:t>
            </w:r>
          </w:p>
        </w:tc>
      </w:tr>
      <w:tr w:rsidR="00161286">
        <w:trPr>
          <w:trHeight w:val="6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ind w:right="47"/>
            </w:pPr>
            <w:r>
              <w:rPr>
                <w:color w:val="1C1C1B"/>
                <w:sz w:val="16"/>
              </w:rPr>
              <w:t>De aanpak is gendersensitief en traumasensitief en gericht op de verandering van de interactie (relatiedynamiek en onderliggende patronen) en wederkerigheid tussen de betrokken personen en op de wisselwerking tussen beïnvloedbare individuele factoren en omgevingsfactoren.</w:t>
            </w:r>
          </w:p>
        </w:tc>
      </w:tr>
      <w:tr w:rsidR="00161286">
        <w:trPr>
          <w:trHeight w:val="6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ind w:right="240"/>
            </w:pPr>
            <w:r>
              <w:rPr>
                <w:color w:val="1C1C1B"/>
                <w:sz w:val="16"/>
              </w:rPr>
              <w:t>Bij het opstellen van het veiligheidsplan, hulpverleningsplan en herstelplan wordt bij ieder doel de vraag gesteld welk eff ect het behalen daarvan zal sorteren op de mate van veiligheid binnen het systeem/de gezinsrelaties (3 soorten resultaten passend bij de 3 fasen).</w:t>
            </w:r>
          </w:p>
        </w:tc>
      </w:tr>
      <w:tr w:rsidR="00161286">
        <w:trPr>
          <w:trHeight w:val="4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ind w:right="386"/>
            </w:pPr>
            <w:r>
              <w:rPr>
                <w:color w:val="1C1C1B"/>
                <w:sz w:val="16"/>
              </w:rPr>
              <w:t>Hulpvragen en daar aan gekoppelde trajecten worden met elkaar verbonden en op elkaar afgestemd vanaf de analysefase tot en met de nazorg.</w:t>
            </w:r>
          </w:p>
        </w:tc>
      </w:tr>
    </w:tbl>
    <w:p w:rsidR="00161286" w:rsidRDefault="009926B0">
      <w:pPr>
        <w:pStyle w:val="Kop3"/>
        <w:ind w:left="1129"/>
      </w:pPr>
      <w:r>
        <w:t>Randvoorwaarden voor systeemgericht werken</w:t>
      </w:r>
    </w:p>
    <w:p w:rsidR="00161286" w:rsidRDefault="009926B0">
      <w:pPr>
        <w:numPr>
          <w:ilvl w:val="0"/>
          <w:numId w:val="12"/>
        </w:numPr>
        <w:spacing w:after="3" w:line="265" w:lineRule="auto"/>
        <w:ind w:right="1027" w:hanging="170"/>
      </w:pPr>
      <w:r>
        <w:rPr>
          <w:color w:val="1C1C1B"/>
          <w:sz w:val="18"/>
        </w:rPr>
        <w:t>Een gezamenlijk en gedragen veiligheidsplan, hulpverleningsplan en herstelplan (en dus: eenzelfde format daarvoor bij alle betrokken hulpverleners).</w:t>
      </w:r>
    </w:p>
    <w:p w:rsidR="00161286" w:rsidRDefault="009926B0">
      <w:pPr>
        <w:numPr>
          <w:ilvl w:val="0"/>
          <w:numId w:val="12"/>
        </w:numPr>
        <w:spacing w:after="3" w:line="265" w:lineRule="auto"/>
        <w:ind w:right="1027" w:hanging="170"/>
      </w:pPr>
      <w:r>
        <w:rPr>
          <w:color w:val="1C1C1B"/>
          <w:sz w:val="18"/>
        </w:rPr>
        <w:t>Een gedeelde focus bij alle uitvoerend professionals op het hele gezin en de omgeving eromheen (het systeem en dus niet primair jeugd of volwassenen, primair vrijwillig of gedwongen kader). Deze gedeelde focus is ongeacht de eigen (wett elijke) taak en uit zich in gelijktijdig samen aan de casus werken en gezamenlijk leren. Partijen die als primaire taak de focus op één lid van het systeem hebben (zoals reclassering, GGZ, jeugdbescherming) krijgen en nemen een rol als onderdeel van het gehele plan. De regisseur ziet daarop toe.</w:t>
      </w:r>
    </w:p>
    <w:p w:rsidR="00161286" w:rsidRDefault="009926B0">
      <w:pPr>
        <w:numPr>
          <w:ilvl w:val="0"/>
          <w:numId w:val="12"/>
        </w:numPr>
        <w:spacing w:after="3" w:line="265" w:lineRule="auto"/>
        <w:ind w:right="1027" w:hanging="170"/>
      </w:pPr>
      <w:r>
        <w:rPr>
          <w:color w:val="1C1C1B"/>
          <w:sz w:val="18"/>
        </w:rPr>
        <w:t>Maatwerk is gewenst in systeemgericht werken. Niet in alle situaties is een systeemaanpak zinvol, in de zin dat de gezinsleden tegelijkertijd hulp krijgen en waar alle gezinsleden tegelijk bij betrokken zijn. Als één van de gezinsleden niet is gemotiveerd, kan dit ertoe leiden dat de andere gezinsleden niet de hulp krijgen die nodig is.</w:t>
      </w:r>
    </w:p>
    <w:p w:rsidR="00161286" w:rsidRDefault="009926B0">
      <w:pPr>
        <w:numPr>
          <w:ilvl w:val="0"/>
          <w:numId w:val="12"/>
        </w:numPr>
        <w:spacing w:after="3" w:line="265" w:lineRule="auto"/>
        <w:ind w:right="1027" w:hanging="170"/>
      </w:pPr>
      <w:r>
        <w:rPr>
          <w:color w:val="1C1C1B"/>
          <w:sz w:val="18"/>
        </w:rPr>
        <w:t>Informatie-uitwisseling is cruciaal en vindt bij voorkeur plaats met toestemming van de directbetrokkenen. Het verwerven van die toestemming is onderdeel van het proces van het motiveren van cliënten voor hulp. Werken cliënten niet mee aan informatie-uitwisseling dan wordt ten minste de informatie gedeeld die gedeeld mag worden wanneer sprake is van onveiligheid.</w:t>
      </w:r>
    </w:p>
    <w:p w:rsidR="00161286" w:rsidRDefault="009926B0">
      <w:pPr>
        <w:numPr>
          <w:ilvl w:val="0"/>
          <w:numId w:val="12"/>
        </w:numPr>
        <w:spacing w:after="3" w:line="265" w:lineRule="auto"/>
        <w:ind w:right="1027" w:hanging="170"/>
      </w:pPr>
      <w:r>
        <w:rPr>
          <w:color w:val="1C1C1B"/>
          <w:sz w:val="18"/>
        </w:rPr>
        <w:t>Eén centrale regisseur die gedurende het gehele traject van probleemanalyse tot en met nazorg betrokken is (zie defi nitie regie) en duidelijke afspraken over wie deze regierol vervult.</w:t>
      </w:r>
    </w:p>
    <w:p w:rsidR="00161286" w:rsidRDefault="009926B0">
      <w:pPr>
        <w:numPr>
          <w:ilvl w:val="0"/>
          <w:numId w:val="12"/>
        </w:numPr>
        <w:spacing w:after="3" w:line="265" w:lineRule="auto"/>
        <w:ind w:right="1027" w:hanging="170"/>
      </w:pPr>
      <w:r>
        <w:rPr>
          <w:color w:val="1C1C1B"/>
          <w:sz w:val="18"/>
        </w:rPr>
        <w:t>Om hulp goed (en verschillende trajecten gelijktijdig) op elkaar te kunnen laten aansluiten is het nodig om snel de juiste hulp in te kunnen zett en, zonder wachtt ijden.</w:t>
      </w:r>
    </w:p>
    <w:p w:rsidR="00161286" w:rsidRDefault="009926B0">
      <w:pPr>
        <w:pStyle w:val="Kop2"/>
        <w:spacing w:after="355" w:line="256" w:lineRule="auto"/>
        <w:ind w:left="1143" w:right="857"/>
      </w:pPr>
      <w:r>
        <w:rPr>
          <w:color w:val="E06F00"/>
          <w:sz w:val="28"/>
        </w:rPr>
        <w:t>Zicht op veiligheid in HGKM-casuïstiek</w:t>
      </w:r>
    </w:p>
    <w:p w:rsidR="00161286" w:rsidRDefault="009926B0">
      <w:pPr>
        <w:shd w:val="clear" w:color="auto" w:fill="CCE4F4"/>
        <w:spacing w:after="1" w:line="261" w:lineRule="auto"/>
        <w:ind w:left="1289" w:right="1278"/>
      </w:pPr>
      <w:r>
        <w:rPr>
          <w:i/>
          <w:color w:val="1C1C1B"/>
          <w:sz w:val="18"/>
        </w:rPr>
        <w:t>Veiligheid volgens Vogtländer &amp; Van Arum (naar Turnell): De aanwezigheid van krachten die hebben laten zien voldoende en gedurende langere tijd te beschermen tegen het gevaar. Het gevaar bestaat uit de feitelijke onveilige gebeurtenissen die zich hebben voorgedaan en waarover zorg is dat ze zich herhalen. • Directe veiligheid: veiligheid op de korte termijn; geweld stoppen en slachtoff ers beschermen.</w:t>
      </w:r>
    </w:p>
    <w:p w:rsidR="00161286" w:rsidRDefault="009926B0">
      <w:pPr>
        <w:shd w:val="clear" w:color="auto" w:fill="CCE4F4"/>
        <w:spacing w:after="305" w:line="261" w:lineRule="auto"/>
        <w:ind w:left="1469" w:right="1278" w:hanging="180"/>
      </w:pPr>
      <w:r>
        <w:rPr>
          <w:i/>
          <w:color w:val="1C1C1B"/>
          <w:sz w:val="18"/>
        </w:rPr>
        <w:t>•  Stabiele veiligheid: veiligheid op de lange termijn; als betrokken partijen met elkaar, met tussenpozen, meerdere malen oordelen dat de veiligheid in het systeem goed genoeg is.</w:t>
      </w:r>
    </w:p>
    <w:tbl>
      <w:tblPr>
        <w:tblStyle w:val="TableGrid"/>
        <w:tblW w:w="7710" w:type="dxa"/>
        <w:tblInd w:w="1139" w:type="dxa"/>
        <w:tblCellMar>
          <w:top w:w="55" w:type="dxa"/>
          <w:left w:w="80" w:type="dxa"/>
          <w:right w:w="115" w:type="dxa"/>
        </w:tblCellMar>
        <w:tblLook w:val="04A0" w:firstRow="1" w:lastRow="0" w:firstColumn="1" w:lastColumn="0" w:noHBand="0" w:noVBand="1"/>
      </w:tblPr>
      <w:tblGrid>
        <w:gridCol w:w="7710"/>
      </w:tblGrid>
      <w:tr w:rsidR="00161286">
        <w:trPr>
          <w:trHeight w:val="295"/>
        </w:trPr>
        <w:tc>
          <w:tcPr>
            <w:tcW w:w="7710" w:type="dxa"/>
            <w:tcBorders>
              <w:top w:val="single" w:sz="4" w:space="0" w:color="8FC9E7"/>
              <w:left w:val="single" w:sz="4" w:space="0" w:color="8FC9E7"/>
              <w:bottom w:val="single" w:sz="4" w:space="0" w:color="8FC9E7"/>
              <w:right w:val="single" w:sz="4" w:space="0" w:color="8FC9E7"/>
            </w:tcBorders>
            <w:shd w:val="clear" w:color="auto" w:fill="8FC9E7"/>
          </w:tcPr>
          <w:p w:rsidR="00161286" w:rsidRDefault="009926B0">
            <w:pPr>
              <w:spacing w:after="0"/>
            </w:pPr>
            <w:r>
              <w:rPr>
                <w:b/>
                <w:color w:val="FFFFFF"/>
                <w:sz w:val="18"/>
              </w:rPr>
              <w:t>Zicht op veiligheid:</w:t>
            </w:r>
          </w:p>
        </w:tc>
      </w:tr>
      <w:tr w:rsidR="00161286">
        <w:trPr>
          <w:trHeight w:val="12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line="246" w:lineRule="auto"/>
            </w:pPr>
            <w:r>
              <w:rPr>
                <w:b/>
                <w:color w:val="1C1C1B"/>
                <w:sz w:val="16"/>
              </w:rPr>
              <w:t>Veiligheidsboordeling:</w:t>
            </w:r>
            <w:r>
              <w:rPr>
                <w:color w:val="1C1C1B"/>
                <w:sz w:val="16"/>
              </w:rPr>
              <w:t xml:space="preserve"> Samen met alle direct betrokkenen (apart dan wel gezamenlijk, afh ankelijk van de aard van de situatie) bepalen hoe veilig de situatie is. Het bekijken van de feitelijke actuele situatie is daarbij het uitgangspunt. Veiligheidsbeoordeling vindt niet één keer plaats, maar wordt periodiek herhaald en heeft  een plek in elke fase van de gefaseerde samenwerking aan veiligheid.</w:t>
            </w:r>
          </w:p>
          <w:p w:rsidR="00161286" w:rsidRDefault="009926B0">
            <w:pPr>
              <w:spacing w:after="0"/>
            </w:pPr>
            <w:r>
              <w:rPr>
                <w:color w:val="1C1C1B"/>
                <w:sz w:val="16"/>
              </w:rPr>
              <w:t>Naast aandacht voor fysieke veiligheid is er ook aandacht voor emotionele veiligheid.</w:t>
            </w:r>
          </w:p>
          <w:p w:rsidR="00161286" w:rsidRDefault="009926B0">
            <w:pPr>
              <w:spacing w:after="0"/>
            </w:pPr>
            <w:r>
              <w:rPr>
                <w:color w:val="1C1C1B"/>
                <w:sz w:val="16"/>
              </w:rPr>
              <w:t>Er wordt hierbij gekeken naar het hele systeem, jeugd &amp; volwassenen.</w:t>
            </w:r>
          </w:p>
        </w:tc>
      </w:tr>
      <w:tr w:rsidR="00161286">
        <w:trPr>
          <w:trHeight w:val="8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ind w:right="174"/>
            </w:pPr>
            <w:r>
              <w:rPr>
                <w:b/>
                <w:color w:val="1C1C1B"/>
                <w:sz w:val="16"/>
              </w:rPr>
              <w:lastRenderedPageBreak/>
              <w:t>Risico-inschatt ing:</w:t>
            </w:r>
            <w:r>
              <w:rPr>
                <w:color w:val="1C1C1B"/>
                <w:sz w:val="16"/>
              </w:rPr>
              <w:t xml:space="preserve"> Naast de feitelijke situatie is het ook nodig om samen met de betrokkenen te bepalen wat de risico’s zijn voor het geweld. Dat vraagt ook om een volledig beeld van de problematiek en de daarbij horende patronen binnen het systeem en welke hulpvraag daaruit voortvloeit. Een risico-inschatt ing met betrokkenen samen wordt periodiek herhaald. Ook hierbij wordt gekeken naar het gehele systeem, jeugd &amp; volwassen.</w:t>
            </w:r>
          </w:p>
        </w:tc>
      </w:tr>
      <w:tr w:rsidR="00161286">
        <w:trPr>
          <w:trHeight w:val="16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ind w:right="130"/>
            </w:pPr>
            <w:r>
              <w:rPr>
                <w:b/>
                <w:color w:val="1C1C1B"/>
                <w:sz w:val="16"/>
              </w:rPr>
              <w:t>Veiligheidsplan:</w:t>
            </w:r>
            <w:r>
              <w:rPr>
                <w:color w:val="1C1C1B"/>
                <w:sz w:val="16"/>
              </w:rPr>
              <w:t xml:space="preserve"> er is door betrokken partijen gezamenlijk, en samen met cliënten en hun sociaal netwerk, een veiligheidsplan2</w:t>
            </w:r>
            <w:r>
              <w:rPr>
                <w:color w:val="1C1C1B"/>
                <w:sz w:val="14"/>
                <w:vertAlign w:val="superscript"/>
              </w:rPr>
              <w:footnoteReference w:id="2"/>
            </w:r>
            <w:r>
              <w:rPr>
                <w:color w:val="1C1C1B"/>
                <w:sz w:val="16"/>
              </w:rPr>
              <w:t xml:space="preserve"> opgesteld dat voor cliënten duidelijk en haalbaar is (het ‘goed genoeg’ uit de defi nitie hierboven is daar concreet in gemaakt). Hierin is met duidelijke afspraken vastgelegd wie waarvoor verantwoordelijk is en wanneer aan wie gerapporteerd wordt. Alle betrokken partijen onderschrijven het plan en de casusregisseur bewaakt de uitvoering. In dit plan staan ook de afspraken met professionals en/of het sociale netwerk wanneer de periodieke veiligheidsbeoordeling samen met betrokkenen plaatsvindt en wat professionals en/of het sociale netwerk moeten doen wanneer er signalen zijn wanneer betrokkenen zich niet aan de afspraken houden. De doelen in het veiligheidsplan zijn geprioriteerd.</w:t>
            </w:r>
          </w:p>
        </w:tc>
      </w:tr>
      <w:tr w:rsidR="00161286">
        <w:trPr>
          <w:trHeight w:val="6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b/>
                <w:color w:val="1C1C1B"/>
                <w:sz w:val="16"/>
              </w:rPr>
              <w:t>Zorg &amp; ondersteuning:</w:t>
            </w:r>
            <w:r>
              <w:rPr>
                <w:color w:val="1C1C1B"/>
                <w:sz w:val="16"/>
              </w:rPr>
              <w:t xml:space="preserve"> tijdens de evaluatie van de zorg en ondersteuning wordt op een gestandaardiseerde wijze samen met betrokkenen vastgesteld of de veiligheidsrisico’s verminderd of beperkt zijn en of er sprake is van directe veiligheid. Daarbij wordt input van andere professionals en het netwerk afgewogen en proactief verzameld.</w:t>
            </w:r>
          </w:p>
        </w:tc>
      </w:tr>
      <w:tr w:rsidR="00161286">
        <w:trPr>
          <w:trHeight w:val="14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ind w:right="6"/>
            </w:pPr>
            <w:r>
              <w:rPr>
                <w:b/>
                <w:color w:val="1C1C1B"/>
                <w:sz w:val="16"/>
              </w:rPr>
              <w:t>Passende maatregelen:</w:t>
            </w:r>
            <w:r>
              <w:rPr>
                <w:color w:val="1C1C1B"/>
                <w:sz w:val="16"/>
              </w:rPr>
              <w:t xml:space="preserve"> de professional bewaakt of de directe veiligheid en de afgesproken doelen worden gerealiseerd, zodat de risico’s op geweld daadwerkelijk afnemen. Bij het doel dat niet is gerealiseerd, of wanneer daar onvoldoende zicht op is, worden passende maatregelen genomen. Passende maatregelen zijn die maatregelen die aansluiten bij de actuele behoeft en en situatie op basis van de probleemanalyse en het daaruit opgestelde plan om directe veiligheid te realiseren en de risico’s te verminderen.</w:t>
            </w:r>
            <w:r>
              <w:rPr>
                <w:color w:val="1C1C1B"/>
                <w:sz w:val="14"/>
                <w:vertAlign w:val="superscript"/>
              </w:rPr>
              <w:footnoteReference w:id="3"/>
            </w:r>
            <w:r>
              <w:rPr>
                <w:color w:val="1C1C1B"/>
                <w:sz w:val="16"/>
              </w:rPr>
              <w:t xml:space="preserve"> Bij situaties van zorgmijding of afh aken van het hulpverleningsproces wordt door de professional afgewogen welke maatregelen ingezet moeten worden om de veiligheid te kunnen waarborgen, waar nodig via escalatie.</w:t>
            </w:r>
          </w:p>
        </w:tc>
      </w:tr>
      <w:tr w:rsidR="00161286">
        <w:trPr>
          <w:trHeight w:val="10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ind w:right="90"/>
            </w:pPr>
            <w:r>
              <w:rPr>
                <w:b/>
                <w:color w:val="1C1C1B"/>
                <w:sz w:val="16"/>
              </w:rPr>
              <w:t xml:space="preserve">Monitoren van veiligheid: </w:t>
            </w:r>
            <w:r>
              <w:rPr>
                <w:color w:val="1C1C1B"/>
                <w:sz w:val="16"/>
              </w:rPr>
              <w:t>gedurende een periode van gemiddeld 1,5 jaar wordt doorlopend toezicht gehouden op de directe veiligheid, en later stabiele veiligheid van alle directbetrokkenen en op de stappen die zijn gezet voor herstel van de opgelopen schade als gevolg van het HGKM. Dit is een wett elijke taak van Veilig Thuis. Veilig Thuis maakt hierover afspraken met de direct betrokkenen en overdrachtspartij hoe vaak, met wie en op welke wijze er contact wordt gelegd.</w:t>
            </w:r>
            <w:r>
              <w:rPr>
                <w:color w:val="1C1C1B"/>
                <w:sz w:val="14"/>
                <w:vertAlign w:val="superscript"/>
              </w:rPr>
              <w:footnoteReference w:id="4"/>
            </w:r>
            <w:r>
              <w:rPr>
                <w:color w:val="1C1C1B"/>
                <w:sz w:val="16"/>
              </w:rPr>
              <w:t xml:space="preserve"> </w:t>
            </w:r>
          </w:p>
        </w:tc>
      </w:tr>
    </w:tbl>
    <w:p w:rsidR="00161286" w:rsidRDefault="009926B0">
      <w:pPr>
        <w:pStyle w:val="Kop3"/>
        <w:ind w:left="1129"/>
      </w:pPr>
      <w:r>
        <w:t>Randvoorwaarden voor zicht op veiligheid</w:t>
      </w:r>
    </w:p>
    <w:p w:rsidR="00161286" w:rsidRDefault="009926B0">
      <w:pPr>
        <w:numPr>
          <w:ilvl w:val="0"/>
          <w:numId w:val="13"/>
        </w:numPr>
        <w:spacing w:after="3" w:line="265" w:lineRule="auto"/>
        <w:ind w:right="973" w:hanging="170"/>
      </w:pPr>
      <w:r>
        <w:rPr>
          <w:color w:val="1C1C1B"/>
          <w:sz w:val="18"/>
        </w:rPr>
        <w:t>Eenzelfde, systeemgericht begrip van het concept ‘veiligheid’ in relatie tot HGKM (zie boven).</w:t>
      </w:r>
    </w:p>
    <w:p w:rsidR="00161286" w:rsidRDefault="009926B0">
      <w:pPr>
        <w:numPr>
          <w:ilvl w:val="0"/>
          <w:numId w:val="13"/>
        </w:numPr>
        <w:spacing w:after="3" w:line="265" w:lineRule="auto"/>
        <w:ind w:right="973" w:hanging="170"/>
      </w:pPr>
      <w:r>
        <w:rPr>
          <w:color w:val="1C1C1B"/>
          <w:sz w:val="18"/>
        </w:rPr>
        <w:t>Een eenduidig instrumentarium voor het meten van veiligheid in systemen waarin sprake is van HGKM, gebaseerd op een begrip van wat de op dit moment gehanteerde instrumenten meten.</w:t>
      </w:r>
    </w:p>
    <w:p w:rsidR="00161286" w:rsidRDefault="009926B0">
      <w:pPr>
        <w:numPr>
          <w:ilvl w:val="0"/>
          <w:numId w:val="13"/>
        </w:numPr>
        <w:spacing w:after="3" w:line="265" w:lineRule="auto"/>
        <w:ind w:right="973" w:hanging="170"/>
      </w:pPr>
      <w:r>
        <w:rPr>
          <w:color w:val="1C1C1B"/>
          <w:sz w:val="18"/>
        </w:rPr>
        <w:t>Informatie-uitwisseling (vanuit het landelijk programmateam Geweld Hoort Nergens Thuis wordt momenteel een Data Privacy Impact Analyse (DPIA) ontwikkeld waarbij de risico’s op het uitwisselen van informatie in beeld zijn gebracht en hoe deze te beheersen).</w:t>
      </w:r>
    </w:p>
    <w:p w:rsidR="00161286" w:rsidRDefault="009926B0">
      <w:pPr>
        <w:numPr>
          <w:ilvl w:val="0"/>
          <w:numId w:val="13"/>
        </w:numPr>
        <w:spacing w:after="3" w:line="265" w:lineRule="auto"/>
        <w:ind w:right="973" w:hanging="170"/>
      </w:pPr>
      <w:r>
        <w:rPr>
          <w:color w:val="1C1C1B"/>
          <w:sz w:val="18"/>
        </w:rPr>
        <w:t>Een systeemgerichte aanpak waarbij betrokken partijen gezamenlijk bepalen wat de risico’s zijn en werken aan hetzelfde doel en plan en een casusregisseur die de veiligheid bewaakt (zie defi nitie regie).</w:t>
      </w:r>
    </w:p>
    <w:p w:rsidR="00161286" w:rsidRDefault="009926B0">
      <w:pPr>
        <w:numPr>
          <w:ilvl w:val="0"/>
          <w:numId w:val="13"/>
        </w:numPr>
        <w:spacing w:after="3" w:line="265" w:lineRule="auto"/>
        <w:ind w:right="973" w:hanging="170"/>
      </w:pPr>
      <w:r>
        <w:rPr>
          <w:color w:val="1C1C1B"/>
          <w:sz w:val="18"/>
        </w:rPr>
        <w:t>Actieve screening op veiligheid als onderdeel van nazorg na afronding van hulp in goede samenwerking tussen Veilig Thuis en lokaal veld als de stabiele veiligheid nog niet is bereikt.</w:t>
      </w:r>
    </w:p>
    <w:p w:rsidR="00161286" w:rsidRDefault="009926B0">
      <w:pPr>
        <w:numPr>
          <w:ilvl w:val="0"/>
          <w:numId w:val="13"/>
        </w:numPr>
        <w:spacing w:after="3" w:line="265" w:lineRule="auto"/>
        <w:ind w:right="973" w:hanging="170"/>
      </w:pPr>
      <w:r>
        <w:rPr>
          <w:color w:val="1C1C1B"/>
          <w:sz w:val="18"/>
        </w:rPr>
        <w:t>Een werkwijze voor het in onderling overleg bepalen van wat ‘goed genoeg’ is vanuit zowel het perspectief van jeugd als van volwassenen.</w:t>
      </w:r>
    </w:p>
    <w:p w:rsidR="00161286" w:rsidRDefault="00161286">
      <w:pPr>
        <w:sectPr w:rsidR="00161286">
          <w:headerReference w:type="even" r:id="rId41"/>
          <w:headerReference w:type="default" r:id="rId42"/>
          <w:footerReference w:type="even" r:id="rId43"/>
          <w:footerReference w:type="default" r:id="rId44"/>
          <w:headerReference w:type="first" r:id="rId45"/>
          <w:footerReference w:type="first" r:id="rId46"/>
          <w:pgSz w:w="11906" w:h="16838"/>
          <w:pgMar w:top="2193" w:right="1107" w:bottom="951" w:left="964" w:header="708" w:footer="432" w:gutter="0"/>
          <w:cols w:space="708"/>
          <w:titlePg/>
        </w:sectPr>
      </w:pPr>
    </w:p>
    <w:p w:rsidR="00161286" w:rsidRDefault="009926B0">
      <w:pPr>
        <w:pStyle w:val="Kop4"/>
      </w:pPr>
      <w:r>
        <w:lastRenderedPageBreak/>
        <w:t>Nationaal Programma ‘Geweld hoort nergens thuis’</w:t>
      </w:r>
    </w:p>
    <w:p w:rsidR="00161286" w:rsidRDefault="009926B0">
      <w:pPr>
        <w:spacing w:after="3838" w:line="265" w:lineRule="auto"/>
        <w:ind w:left="10" w:right="973" w:hanging="10"/>
      </w:pPr>
      <w:r>
        <w:rPr>
          <w:b/>
          <w:color w:val="8FC9E7"/>
          <w:sz w:val="18"/>
        </w:rPr>
        <w:t>Bezoekadres</w:t>
      </w:r>
      <w:r>
        <w:rPr>
          <w:color w:val="1C1C1B"/>
          <w:sz w:val="18"/>
        </w:rPr>
        <w:t xml:space="preserve"> Parnassusplein 5, 2511 VX Den Haag </w:t>
      </w:r>
      <w:r>
        <w:rPr>
          <w:b/>
          <w:color w:val="8FC9E7"/>
          <w:sz w:val="18"/>
        </w:rPr>
        <w:t>Postadres</w:t>
      </w:r>
      <w:r>
        <w:rPr>
          <w:color w:val="1C1C1B"/>
          <w:sz w:val="18"/>
        </w:rPr>
        <w:t xml:space="preserve"> Postbus 20350, 2500 EJ Den Haag </w:t>
      </w:r>
      <w:hyperlink r:id="rId47">
        <w:r>
          <w:rPr>
            <w:color w:val="E06F00"/>
            <w:sz w:val="18"/>
            <w:u w:val="single" w:color="E06F00"/>
          </w:rPr>
          <w:t xml:space="preserve">www.vng.nl/geweldnergensthuis </w:t>
        </w:r>
      </w:hyperlink>
      <w:r>
        <w:rPr>
          <w:color w:val="E06F00"/>
          <w:sz w:val="18"/>
          <w:u w:val="single" w:color="E06F00"/>
        </w:rPr>
        <w:t>info@geweldnergensthuis.nl</w:t>
      </w:r>
    </w:p>
    <w:p w:rsidR="00161286" w:rsidRDefault="009926B0">
      <w:pPr>
        <w:spacing w:after="181" w:line="265" w:lineRule="auto"/>
        <w:ind w:left="10" w:hanging="10"/>
      </w:pPr>
      <w:r>
        <w:rPr>
          <w:noProof/>
        </w:rPr>
        <mc:AlternateContent>
          <mc:Choice Requires="wpg">
            <w:drawing>
              <wp:anchor distT="0" distB="0" distL="114300" distR="114300" simplePos="0" relativeHeight="251679744" behindDoc="0" locked="0" layoutInCell="1" allowOverlap="1">
                <wp:simplePos x="0" y="0"/>
                <wp:positionH relativeFrom="page">
                  <wp:posOffset>3780003</wp:posOffset>
                </wp:positionH>
                <wp:positionV relativeFrom="page">
                  <wp:posOffset>0</wp:posOffset>
                </wp:positionV>
                <wp:extent cx="3779990" cy="10692003"/>
                <wp:effectExtent l="0" t="0" r="0" b="0"/>
                <wp:wrapSquare wrapText="bothSides"/>
                <wp:docPr id="33538" name="Group 33538"/>
                <wp:cNvGraphicFramePr/>
                <a:graphic xmlns:a="http://schemas.openxmlformats.org/drawingml/2006/main">
                  <a:graphicData uri="http://schemas.microsoft.com/office/word/2010/wordprocessingGroup">
                    <wpg:wgp>
                      <wpg:cNvGrpSpPr/>
                      <wpg:grpSpPr>
                        <a:xfrm>
                          <a:off x="0" y="0"/>
                          <a:ext cx="3779990" cy="10692003"/>
                          <a:chOff x="0" y="0"/>
                          <a:chExt cx="3779990" cy="10692003"/>
                        </a:xfrm>
                      </wpg:grpSpPr>
                      <wps:wsp>
                        <wps:cNvPr id="50452" name="Shape 50452"/>
                        <wps:cNvSpPr/>
                        <wps:spPr>
                          <a:xfrm>
                            <a:off x="0" y="0"/>
                            <a:ext cx="3779990" cy="10692003"/>
                          </a:xfrm>
                          <a:custGeom>
                            <a:avLst/>
                            <a:gdLst/>
                            <a:ahLst/>
                            <a:cxnLst/>
                            <a:rect l="0" t="0" r="0" b="0"/>
                            <a:pathLst>
                              <a:path w="3779990" h="10692003">
                                <a:moveTo>
                                  <a:pt x="0" y="0"/>
                                </a:moveTo>
                                <a:lnTo>
                                  <a:pt x="3779990" y="0"/>
                                </a:lnTo>
                                <a:lnTo>
                                  <a:pt x="3779990" y="10692003"/>
                                </a:lnTo>
                                <a:lnTo>
                                  <a:pt x="0" y="10692003"/>
                                </a:lnTo>
                                <a:lnTo>
                                  <a:pt x="0" y="0"/>
                                </a:lnTo>
                              </a:path>
                            </a:pathLst>
                          </a:custGeom>
                          <a:ln w="0" cap="flat">
                            <a:miter lim="127000"/>
                          </a:ln>
                        </wps:spPr>
                        <wps:style>
                          <a:lnRef idx="0">
                            <a:srgbClr val="000000">
                              <a:alpha val="0"/>
                            </a:srgbClr>
                          </a:lnRef>
                          <a:fillRef idx="1">
                            <a:srgbClr val="DDEFF7"/>
                          </a:fillRef>
                          <a:effectRef idx="0">
                            <a:scrgbClr r="0" g="0" b="0"/>
                          </a:effectRef>
                          <a:fontRef idx="none"/>
                        </wps:style>
                        <wps:bodyPr/>
                      </wps:wsp>
                    </wpg:wgp>
                  </a:graphicData>
                </a:graphic>
              </wp:anchor>
            </w:drawing>
          </mc:Choice>
          <mc:Fallback xmlns:a="http://schemas.openxmlformats.org/drawingml/2006/main">
            <w:pict>
              <v:group id="Group 33538" style="width:297.637pt;height:841.89pt;position:absolute;mso-position-horizontal-relative:page;mso-position-horizontal:absolute;margin-left:297.638pt;mso-position-vertical-relative:page;margin-top:0pt;" coordsize="37799,106920">
                <v:shape id="Shape 50453" style="position:absolute;width:37799;height:106920;left:0;top:0;" coordsize="3779990,10692003" path="m0,0l3779990,0l3779990,10692003l0,10692003l0,0">
                  <v:stroke weight="0pt" endcap="flat" joinstyle="miter" miterlimit="10" on="false" color="#000000" opacity="0"/>
                  <v:fill on="true" color="#ddeff7"/>
                </v:shape>
                <w10:wrap type="square"/>
              </v:group>
            </w:pict>
          </mc:Fallback>
        </mc:AlternateContent>
      </w:r>
      <w:r>
        <w:rPr>
          <w:color w:val="1C1C1B"/>
          <w:sz w:val="18"/>
        </w:rPr>
        <w:t>Dit is een uitgave van</w:t>
      </w:r>
    </w:p>
    <w:p w:rsidR="00161286" w:rsidRDefault="009926B0">
      <w:pPr>
        <w:spacing w:after="1444"/>
        <w:ind w:left="-17"/>
      </w:pPr>
      <w:r>
        <w:rPr>
          <w:noProof/>
        </w:rPr>
        <w:drawing>
          <wp:inline distT="0" distB="0" distL="0" distR="0">
            <wp:extent cx="1840992" cy="2185416"/>
            <wp:effectExtent l="0" t="0" r="0" b="0"/>
            <wp:docPr id="34335" name="Picture 34335"/>
            <wp:cNvGraphicFramePr/>
            <a:graphic xmlns:a="http://schemas.openxmlformats.org/drawingml/2006/main">
              <a:graphicData uri="http://schemas.openxmlformats.org/drawingml/2006/picture">
                <pic:pic xmlns:pic="http://schemas.openxmlformats.org/drawingml/2006/picture">
                  <pic:nvPicPr>
                    <pic:cNvPr id="34335" name="Picture 34335"/>
                    <pic:cNvPicPr/>
                  </pic:nvPicPr>
                  <pic:blipFill>
                    <a:blip r:embed="rId48"/>
                    <a:stretch>
                      <a:fillRect/>
                    </a:stretch>
                  </pic:blipFill>
                  <pic:spPr>
                    <a:xfrm>
                      <a:off x="0" y="0"/>
                      <a:ext cx="1840992" cy="2185416"/>
                    </a:xfrm>
                    <a:prstGeom prst="rect">
                      <a:avLst/>
                    </a:prstGeom>
                  </pic:spPr>
                </pic:pic>
              </a:graphicData>
            </a:graphic>
          </wp:inline>
        </w:drawing>
      </w:r>
    </w:p>
    <w:p w:rsidR="00161286" w:rsidRDefault="009926B0">
      <w:pPr>
        <w:spacing w:after="3" w:line="265" w:lineRule="auto"/>
        <w:ind w:left="10" w:hanging="10"/>
      </w:pPr>
      <w:r>
        <w:rPr>
          <w:color w:val="1C1C1B"/>
          <w:sz w:val="18"/>
        </w:rPr>
        <w:t>November 2021</w:t>
      </w:r>
    </w:p>
    <w:sectPr w:rsidR="00161286">
      <w:headerReference w:type="even" r:id="rId49"/>
      <w:headerReference w:type="default" r:id="rId50"/>
      <w:footerReference w:type="even" r:id="rId51"/>
      <w:footerReference w:type="default" r:id="rId52"/>
      <w:headerReference w:type="first" r:id="rId53"/>
      <w:footerReference w:type="first" r:id="rId54"/>
      <w:pgSz w:w="11906" w:h="16838"/>
      <w:pgMar w:top="1440" w:right="1440" w:bottom="1440" w:left="96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BBA" w:rsidRDefault="00141BBA">
      <w:pPr>
        <w:spacing w:after="0" w:line="240" w:lineRule="auto"/>
      </w:pPr>
      <w:r>
        <w:separator/>
      </w:r>
    </w:p>
  </w:endnote>
  <w:endnote w:type="continuationSeparator" w:id="0">
    <w:p w:rsidR="00141BBA" w:rsidRDefault="00141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rsidP="00FF1CE0">
    <w:pPr>
      <w:tabs>
        <w:tab w:val="left" w:pos="1746"/>
      </w:tabs>
      <w:spacing w:after="0"/>
      <w:ind w:right="4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pPr>
      <w:spacing w:after="0"/>
      <w:ind w:left="166"/>
      <w:jc w:val="center"/>
    </w:pPr>
    <w:r>
      <w:fldChar w:fldCharType="begin"/>
    </w:r>
    <w:r>
      <w:instrText xml:space="preserve"> PAGE   \* MERGEFORMAT </w:instrText>
    </w:r>
    <w:r>
      <w:fldChar w:fldCharType="separate"/>
    </w:r>
    <w:r>
      <w:rPr>
        <w:b/>
        <w:color w:val="007BCA"/>
        <w:sz w:val="18"/>
      </w:rPr>
      <w:t>2</w:t>
    </w:r>
    <w:r>
      <w:rPr>
        <w:b/>
        <w:color w:val="007BCA"/>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pPr>
      <w:spacing w:after="0"/>
      <w:ind w:left="166"/>
      <w:jc w:val="center"/>
    </w:pPr>
    <w:r>
      <w:fldChar w:fldCharType="begin"/>
    </w:r>
    <w:r>
      <w:instrText xml:space="preserve"> PAGE   \* MERGEFORMAT </w:instrText>
    </w:r>
    <w:r>
      <w:fldChar w:fldCharType="separate"/>
    </w:r>
    <w:r>
      <w:rPr>
        <w:b/>
        <w:color w:val="007BCA"/>
        <w:sz w:val="18"/>
      </w:rPr>
      <w:t>2</w:t>
    </w:r>
    <w:r>
      <w:rPr>
        <w:b/>
        <w:color w:val="007BCA"/>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pPr>
      <w:spacing w:after="0"/>
      <w:ind w:left="166"/>
      <w:jc w:val="center"/>
    </w:pPr>
    <w:r>
      <w:fldChar w:fldCharType="begin"/>
    </w:r>
    <w:r>
      <w:instrText xml:space="preserve"> PAGE   \* MERGEFORMAT </w:instrText>
    </w:r>
    <w:r>
      <w:fldChar w:fldCharType="separate"/>
    </w:r>
    <w:r>
      <w:rPr>
        <w:b/>
        <w:color w:val="007BCA"/>
        <w:sz w:val="18"/>
      </w:rPr>
      <w:t>26</w:t>
    </w:r>
    <w:r>
      <w:rPr>
        <w:b/>
        <w:color w:val="007BCA"/>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pPr>
      <w:spacing w:after="0"/>
      <w:ind w:right="48"/>
      <w:jc w:val="center"/>
    </w:pPr>
    <w:r>
      <w:fldChar w:fldCharType="begin"/>
    </w:r>
    <w:r>
      <w:instrText xml:space="preserve"> PAGE   \* MERGEFORMAT </w:instrText>
    </w:r>
    <w:r>
      <w:fldChar w:fldCharType="separate"/>
    </w:r>
    <w:r>
      <w:rPr>
        <w:b/>
        <w:color w:val="007BCA"/>
        <w:sz w:val="18"/>
      </w:rPr>
      <w:t>2</w:t>
    </w:r>
    <w:r>
      <w:rPr>
        <w:b/>
        <w:color w:val="007BC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pPr>
      <w:spacing w:after="0"/>
      <w:ind w:right="48"/>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969" w:tblpY="13998"/>
      <w:tblOverlap w:val="never"/>
      <w:tblW w:w="9978" w:type="dxa"/>
      <w:tblInd w:w="0" w:type="dxa"/>
      <w:tblCellMar>
        <w:left w:w="115" w:type="dxa"/>
        <w:right w:w="115" w:type="dxa"/>
      </w:tblCellMar>
      <w:tblLook w:val="04A0" w:firstRow="1" w:lastRow="0" w:firstColumn="1" w:lastColumn="0" w:noHBand="0" w:noVBand="1"/>
    </w:tblPr>
    <w:tblGrid>
      <w:gridCol w:w="1530"/>
      <w:gridCol w:w="1531"/>
      <w:gridCol w:w="1531"/>
      <w:gridCol w:w="1531"/>
      <w:gridCol w:w="1531"/>
      <w:gridCol w:w="1162"/>
      <w:gridCol w:w="1162"/>
    </w:tblGrid>
    <w:tr w:rsidR="009926B0">
      <w:trPr>
        <w:trHeight w:val="360"/>
      </w:trPr>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r>
    <w:tr w:rsidR="009926B0">
      <w:trPr>
        <w:trHeight w:val="360"/>
      </w:trPr>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r>
    <w:tr w:rsidR="009926B0">
      <w:trPr>
        <w:trHeight w:val="360"/>
      </w:trPr>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r>
    <w:tr w:rsidR="009926B0">
      <w:trPr>
        <w:trHeight w:val="360"/>
      </w:trPr>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r>
    <w:tr w:rsidR="009926B0">
      <w:trPr>
        <w:trHeight w:val="360"/>
      </w:trPr>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r>
  </w:tbl>
  <w:p w:rsidR="009926B0" w:rsidRDefault="009926B0">
    <w:pPr>
      <w:spacing w:after="0"/>
      <w:ind w:left="513"/>
      <w:jc w:val="center"/>
    </w:pPr>
    <w:r>
      <w:fldChar w:fldCharType="begin"/>
    </w:r>
    <w:r>
      <w:instrText xml:space="preserve"> PAGE   \* MERGEFORMAT </w:instrText>
    </w:r>
    <w:r>
      <w:fldChar w:fldCharType="separate"/>
    </w:r>
    <w:r>
      <w:rPr>
        <w:b/>
        <w:color w:val="007BCA"/>
        <w:sz w:val="18"/>
      </w:rPr>
      <w:t>22</w:t>
    </w:r>
    <w:r>
      <w:rPr>
        <w:b/>
        <w:color w:val="007BCA"/>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pPr>
      <w:spacing w:after="0"/>
      <w:ind w:left="513"/>
      <w:jc w:val="center"/>
    </w:pPr>
    <w:r>
      <w:fldChar w:fldCharType="begin"/>
    </w:r>
    <w:r>
      <w:instrText xml:space="preserve"> PAGE   \* MERGEFORMAT </w:instrText>
    </w:r>
    <w:r>
      <w:fldChar w:fldCharType="separate"/>
    </w:r>
    <w:r>
      <w:rPr>
        <w:b/>
        <w:color w:val="007BCA"/>
        <w:sz w:val="18"/>
      </w:rPr>
      <w:t>2</w:t>
    </w:r>
    <w:r>
      <w:rPr>
        <w:b/>
        <w:color w:val="007BCA"/>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pPr>
      <w:spacing w:after="0"/>
      <w:ind w:left="513"/>
      <w:jc w:val="center"/>
    </w:pPr>
    <w:r>
      <w:fldChar w:fldCharType="begin"/>
    </w:r>
    <w:r>
      <w:instrText xml:space="preserve"> PAGE   \* MERGEFORMAT </w:instrText>
    </w:r>
    <w:r>
      <w:fldChar w:fldCharType="separate"/>
    </w:r>
    <w:r>
      <w:rPr>
        <w:b/>
        <w:color w:val="007BCA"/>
        <w:sz w:val="18"/>
      </w:rPr>
      <w:t>2</w:t>
    </w:r>
    <w:r>
      <w:rPr>
        <w:b/>
        <w:color w:val="007BCA"/>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pPr>
      <w:spacing w:after="0"/>
      <w:ind w:left="112"/>
      <w:jc w:val="center"/>
    </w:pPr>
    <w:r>
      <w:fldChar w:fldCharType="begin"/>
    </w:r>
    <w:r>
      <w:instrText xml:space="preserve"> PAGE   \* MERGEFORMAT </w:instrText>
    </w:r>
    <w:r>
      <w:fldChar w:fldCharType="separate"/>
    </w:r>
    <w:r>
      <w:rPr>
        <w:b/>
        <w:color w:val="007BCA"/>
        <w:sz w:val="18"/>
      </w:rPr>
      <w:t>22</w:t>
    </w:r>
    <w:r>
      <w:rPr>
        <w:b/>
        <w:color w:val="007BCA"/>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969" w:tblpY="13998"/>
      <w:tblOverlap w:val="never"/>
      <w:tblW w:w="9978" w:type="dxa"/>
      <w:tblInd w:w="0" w:type="dxa"/>
      <w:tblCellMar>
        <w:left w:w="115" w:type="dxa"/>
        <w:right w:w="115" w:type="dxa"/>
      </w:tblCellMar>
      <w:tblLook w:val="04A0" w:firstRow="1" w:lastRow="0" w:firstColumn="1" w:lastColumn="0" w:noHBand="0" w:noVBand="1"/>
    </w:tblPr>
    <w:tblGrid>
      <w:gridCol w:w="1530"/>
      <w:gridCol w:w="1531"/>
      <w:gridCol w:w="1531"/>
      <w:gridCol w:w="1531"/>
      <w:gridCol w:w="1531"/>
      <w:gridCol w:w="1162"/>
      <w:gridCol w:w="1162"/>
    </w:tblGrid>
    <w:tr w:rsidR="009926B0">
      <w:trPr>
        <w:trHeight w:val="360"/>
      </w:trPr>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r>
    <w:tr w:rsidR="009926B0">
      <w:trPr>
        <w:trHeight w:val="360"/>
      </w:trPr>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r>
    <w:tr w:rsidR="009926B0">
      <w:trPr>
        <w:trHeight w:val="360"/>
      </w:trPr>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r>
    <w:tr w:rsidR="009926B0">
      <w:trPr>
        <w:trHeight w:val="360"/>
      </w:trPr>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r>
    <w:tr w:rsidR="009926B0">
      <w:trPr>
        <w:trHeight w:val="360"/>
      </w:trPr>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r>
  </w:tbl>
  <w:p w:rsidR="009926B0" w:rsidRDefault="009926B0">
    <w:pPr>
      <w:spacing w:after="0"/>
      <w:ind w:left="112"/>
      <w:jc w:val="center"/>
    </w:pPr>
    <w:r>
      <w:fldChar w:fldCharType="begin"/>
    </w:r>
    <w:r>
      <w:instrText xml:space="preserve"> PAGE   \* MERGEFORMAT </w:instrText>
    </w:r>
    <w:r>
      <w:fldChar w:fldCharType="separate"/>
    </w:r>
    <w:r>
      <w:rPr>
        <w:b/>
        <w:color w:val="007BCA"/>
        <w:sz w:val="18"/>
      </w:rPr>
      <w:t>22</w:t>
    </w:r>
    <w:r>
      <w:rPr>
        <w:b/>
        <w:color w:val="007BCA"/>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969" w:tblpY="13998"/>
      <w:tblOverlap w:val="never"/>
      <w:tblW w:w="9978" w:type="dxa"/>
      <w:tblInd w:w="0" w:type="dxa"/>
      <w:tblCellMar>
        <w:left w:w="115" w:type="dxa"/>
        <w:right w:w="115" w:type="dxa"/>
      </w:tblCellMar>
      <w:tblLook w:val="04A0" w:firstRow="1" w:lastRow="0" w:firstColumn="1" w:lastColumn="0" w:noHBand="0" w:noVBand="1"/>
    </w:tblPr>
    <w:tblGrid>
      <w:gridCol w:w="1530"/>
      <w:gridCol w:w="1531"/>
      <w:gridCol w:w="1531"/>
      <w:gridCol w:w="1531"/>
      <w:gridCol w:w="1531"/>
      <w:gridCol w:w="1162"/>
      <w:gridCol w:w="1162"/>
    </w:tblGrid>
    <w:tr w:rsidR="009926B0">
      <w:trPr>
        <w:trHeight w:val="360"/>
      </w:trPr>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r>
    <w:tr w:rsidR="009926B0">
      <w:trPr>
        <w:trHeight w:val="360"/>
      </w:trPr>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r>
    <w:tr w:rsidR="009926B0">
      <w:trPr>
        <w:trHeight w:val="360"/>
      </w:trPr>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r>
    <w:tr w:rsidR="009926B0">
      <w:trPr>
        <w:trHeight w:val="360"/>
      </w:trPr>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r>
    <w:tr w:rsidR="009926B0">
      <w:trPr>
        <w:trHeight w:val="360"/>
      </w:trPr>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531"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c>
        <w:tcPr>
          <w:tcW w:w="1162" w:type="dxa"/>
          <w:tcBorders>
            <w:top w:val="single" w:sz="4" w:space="0" w:color="8FC9E7"/>
            <w:left w:val="single" w:sz="4" w:space="0" w:color="8FC9E7"/>
            <w:bottom w:val="single" w:sz="4" w:space="0" w:color="8FC9E7"/>
            <w:right w:val="single" w:sz="4" w:space="0" w:color="8FC9E7"/>
          </w:tcBorders>
        </w:tcPr>
        <w:p w:rsidR="009926B0" w:rsidRDefault="009926B0"/>
      </w:tc>
    </w:tr>
  </w:tbl>
  <w:p w:rsidR="009926B0" w:rsidRDefault="009926B0">
    <w:pPr>
      <w:spacing w:after="0"/>
      <w:ind w:left="112"/>
      <w:jc w:val="center"/>
    </w:pPr>
    <w:r>
      <w:fldChar w:fldCharType="begin"/>
    </w:r>
    <w:r>
      <w:instrText xml:space="preserve"> PAGE   \* MERGEFORMAT </w:instrText>
    </w:r>
    <w:r>
      <w:fldChar w:fldCharType="separate"/>
    </w:r>
    <w:r>
      <w:rPr>
        <w:b/>
        <w:color w:val="007BCA"/>
        <w:sz w:val="18"/>
      </w:rPr>
      <w:t>22</w:t>
    </w:r>
    <w:r>
      <w:rPr>
        <w:b/>
        <w:color w:val="007BC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BBA" w:rsidRDefault="00141BBA">
      <w:pPr>
        <w:spacing w:after="0"/>
        <w:ind w:left="1134"/>
      </w:pPr>
      <w:r>
        <w:separator/>
      </w:r>
    </w:p>
  </w:footnote>
  <w:footnote w:type="continuationSeparator" w:id="0">
    <w:p w:rsidR="00141BBA" w:rsidRDefault="00141BBA">
      <w:pPr>
        <w:spacing w:after="0"/>
        <w:ind w:left="1134"/>
      </w:pPr>
      <w:r>
        <w:continuationSeparator/>
      </w:r>
    </w:p>
  </w:footnote>
  <w:footnote w:id="1">
    <w:p w:rsidR="009926B0" w:rsidRDefault="009926B0">
      <w:pPr>
        <w:pStyle w:val="footnotedescription"/>
        <w:spacing w:after="0"/>
      </w:pPr>
      <w:r>
        <w:rPr>
          <w:rStyle w:val="footnotemark"/>
        </w:rPr>
        <w:footnoteRef/>
      </w:r>
      <w:r>
        <w:t xml:space="preserve"> Daar waar we gezinnen schrijven, bedoelen we alle personen die met elkaar een verband hebben.</w:t>
      </w:r>
    </w:p>
  </w:footnote>
  <w:footnote w:id="2">
    <w:p w:rsidR="009926B0" w:rsidRDefault="009926B0">
      <w:pPr>
        <w:pStyle w:val="footnotedescription"/>
        <w:spacing w:after="14" w:line="319" w:lineRule="auto"/>
        <w:ind w:left="1247" w:right="544" w:hanging="113"/>
      </w:pPr>
      <w:r>
        <w:rPr>
          <w:rStyle w:val="footnotemark"/>
        </w:rPr>
        <w:footnoteRef/>
      </w:r>
      <w:r>
        <w:t xml:space="preserve"> Een beschrijving van de wijze waarop gewerkt wordt aan de veiligheidsvoorwaarden en aan herstel van directe en stabiele veiligheid (defi nitie uit Handelingsprotocol Veilig Thuis).</w:t>
      </w:r>
    </w:p>
  </w:footnote>
  <w:footnote w:id="3">
    <w:p w:rsidR="009926B0" w:rsidRDefault="009926B0">
      <w:pPr>
        <w:pStyle w:val="footnotedescription"/>
        <w:spacing w:after="45"/>
      </w:pPr>
      <w:r>
        <w:rPr>
          <w:rStyle w:val="footnotemark"/>
        </w:rPr>
        <w:footnoteRef/>
      </w:r>
      <w:r>
        <w:t xml:space="preserve"> Toezicht op passende jeugdhulp | Inspectie Gezondheidszorg en Jeu</w:t>
      </w:r>
      <w:hyperlink r:id="rId1">
        <w:r>
          <w:t>gd (</w:t>
        </w:r>
      </w:hyperlink>
      <w:hyperlink r:id="rId2">
        <w:r>
          <w:rPr>
            <w:color w:val="007BCA"/>
            <w:u w:val="single" w:color="007BCA"/>
          </w:rPr>
          <w:t>igj.nl</w:t>
        </w:r>
      </w:hyperlink>
      <w:hyperlink r:id="rId3">
        <w:r>
          <w:t>)</w:t>
        </w:r>
      </w:hyperlink>
    </w:p>
  </w:footnote>
  <w:footnote w:id="4">
    <w:p w:rsidR="009926B0" w:rsidRDefault="009926B0">
      <w:pPr>
        <w:pStyle w:val="footnotedescription"/>
        <w:spacing w:after="0"/>
      </w:pPr>
      <w:r>
        <w:rPr>
          <w:rStyle w:val="footnotemark"/>
        </w:rPr>
        <w:footnoteRef/>
      </w:r>
      <w:r>
        <w:t xml:space="preserve"> Zi</w:t>
      </w:r>
      <w:hyperlink r:id="rId4">
        <w:r>
          <w:t xml:space="preserve">e </w:t>
        </w:r>
      </w:hyperlink>
      <w:hyperlink r:id="rId5">
        <w:r>
          <w:rPr>
            <w:color w:val="007BCA"/>
            <w:u w:val="single" w:color="007BCA"/>
          </w:rPr>
          <w:t>htt ps://vng.nl/fi les/vng/publicaties/2019/veiligthuis-interactief-protocol_v3.pdf</w:t>
        </w:r>
      </w:hyperlink>
      <w:hyperlink r:id="rId6">
        <w:r>
          <w:t xml:space="preserve"> p</w:t>
        </w:r>
      </w:hyperlink>
      <w:r>
        <w:t>agina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CE0" w:rsidRDefault="00FF1CE0" w:rsidP="00FF1CE0">
    <w:pPr>
      <w:tabs>
        <w:tab w:val="center" w:pos="4350"/>
      </w:tabs>
      <w:spacing w:after="0"/>
      <w:ind w:firstLine="1418"/>
    </w:pPr>
    <w:r>
      <w:rPr>
        <w:noProof/>
      </w:rPr>
      <w:drawing>
        <wp:anchor distT="0" distB="0" distL="114300" distR="114300" simplePos="0" relativeHeight="251671552" behindDoc="1" locked="0" layoutInCell="1" allowOverlap="1" wp14:anchorId="28B13BDA" wp14:editId="3251D71D">
          <wp:simplePos x="0" y="0"/>
          <wp:positionH relativeFrom="column">
            <wp:posOffset>-63500</wp:posOffset>
          </wp:positionH>
          <wp:positionV relativeFrom="paragraph">
            <wp:posOffset>-182408</wp:posOffset>
          </wp:positionV>
          <wp:extent cx="865848" cy="865848"/>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gramma icoon GHNT web.png"/>
                  <pic:cNvPicPr/>
                </pic:nvPicPr>
                <pic:blipFill>
                  <a:blip r:embed="rId1">
                    <a:extLst>
                      <a:ext uri="{28A0092B-C50C-407E-A947-70E740481C1C}">
                        <a14:useLocalDpi xmlns:a14="http://schemas.microsoft.com/office/drawing/2010/main" val="0"/>
                      </a:ext>
                    </a:extLst>
                  </a:blip>
                  <a:stretch>
                    <a:fillRect/>
                  </a:stretch>
                </pic:blipFill>
                <pic:spPr>
                  <a:xfrm>
                    <a:off x="0" y="0"/>
                    <a:ext cx="865848" cy="865848"/>
                  </a:xfrm>
                  <a:prstGeom prst="rect">
                    <a:avLst/>
                  </a:prstGeom>
                </pic:spPr>
              </pic:pic>
            </a:graphicData>
          </a:graphic>
          <wp14:sizeRelH relativeFrom="page">
            <wp14:pctWidth>0</wp14:pctWidth>
          </wp14:sizeRelH>
          <wp14:sizeRelV relativeFrom="page">
            <wp14:pctHeight>0</wp14:pctHeight>
          </wp14:sizeRelV>
        </wp:anchor>
      </w:drawing>
    </w:r>
    <w:r>
      <w:rPr>
        <w:color w:val="007BCA"/>
        <w:sz w:val="53"/>
      </w:rPr>
      <w:t>Geweld hoort nergens thuis</w:t>
    </w:r>
  </w:p>
  <w:p w:rsidR="00FF1CE0" w:rsidRDefault="00FF1CE0" w:rsidP="00FF1CE0">
    <w:pPr>
      <w:spacing w:after="400"/>
      <w:ind w:left="731" w:firstLine="692"/>
    </w:pPr>
    <w:r>
      <w:rPr>
        <w:color w:val="1C1C1B"/>
        <w:sz w:val="23"/>
      </w:rPr>
      <w:t>Aanpak huiselijk geweld en kindermishandeling</w:t>
    </w:r>
  </w:p>
  <w:p w:rsidR="009926B0" w:rsidRPr="00FF1CE0" w:rsidRDefault="00FF1CE0" w:rsidP="00FF1CE0">
    <w:pPr>
      <w:spacing w:after="0"/>
    </w:pPr>
    <w:r>
      <w:rPr>
        <w:b/>
        <w:color w:val="E06F00"/>
        <w:sz w:val="42"/>
        <w:u w:val="single" w:color="E06F00"/>
      </w:rPr>
      <w:t xml:space="preserve">BIJLAGE 3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pPr>
      <w:spacing w:after="30"/>
    </w:pPr>
    <w:r>
      <w:rPr>
        <w:noProof/>
      </w:rPr>
      <mc:AlternateContent>
        <mc:Choice Requires="wpg">
          <w:drawing>
            <wp:anchor distT="0" distB="0" distL="114300" distR="114300" simplePos="0" relativeHeight="251663360" behindDoc="0" locked="0" layoutInCell="1" allowOverlap="1">
              <wp:simplePos x="0" y="0"/>
              <wp:positionH relativeFrom="page">
                <wp:posOffset>612000</wp:posOffset>
              </wp:positionH>
              <wp:positionV relativeFrom="page">
                <wp:posOffset>1057804</wp:posOffset>
              </wp:positionV>
              <wp:extent cx="6336005" cy="6350"/>
              <wp:effectExtent l="0" t="0" r="0" b="0"/>
              <wp:wrapSquare wrapText="bothSides"/>
              <wp:docPr id="35220" name="Group 35220"/>
              <wp:cNvGraphicFramePr/>
              <a:graphic xmlns:a="http://schemas.openxmlformats.org/drawingml/2006/main">
                <a:graphicData uri="http://schemas.microsoft.com/office/word/2010/wordprocessingGroup">
                  <wpg:wgp>
                    <wpg:cNvGrpSpPr/>
                    <wpg:grpSpPr>
                      <a:xfrm>
                        <a:off x="0" y="0"/>
                        <a:ext cx="6336005" cy="6350"/>
                        <a:chOff x="0" y="0"/>
                        <a:chExt cx="6336005" cy="6350"/>
                      </a:xfrm>
                    </wpg:grpSpPr>
                    <wps:wsp>
                      <wps:cNvPr id="35221" name="Shape 35221"/>
                      <wps:cNvSpPr/>
                      <wps:spPr>
                        <a:xfrm>
                          <a:off x="0" y="0"/>
                          <a:ext cx="6336005" cy="0"/>
                        </a:xfrm>
                        <a:custGeom>
                          <a:avLst/>
                          <a:gdLst/>
                          <a:ahLst/>
                          <a:cxnLst/>
                          <a:rect l="0" t="0" r="0" b="0"/>
                          <a:pathLst>
                            <a:path w="6336005">
                              <a:moveTo>
                                <a:pt x="0" y="0"/>
                              </a:moveTo>
                              <a:lnTo>
                                <a:pt x="6336005" y="0"/>
                              </a:lnTo>
                            </a:path>
                          </a:pathLst>
                        </a:custGeom>
                        <a:ln w="6350" cap="flat">
                          <a:miter lim="100000"/>
                        </a:ln>
                      </wps:spPr>
                      <wps:style>
                        <a:lnRef idx="1">
                          <a:srgbClr val="1C1C1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220" style="width:498.898pt;height:0.5pt;position:absolute;mso-position-horizontal-relative:page;mso-position-horizontal:absolute;margin-left:48.189pt;mso-position-vertical-relative:page;margin-top:83.2916pt;" coordsize="63360,63">
              <v:shape id="Shape 35221" style="position:absolute;width:63360;height:0;left:0;top:0;" coordsize="6336005,0" path="m0,0l6336005,0">
                <v:stroke weight="0.5pt" endcap="flat" joinstyle="miter" miterlimit="4" on="true" color="#1c1c1b"/>
                <v:fill on="false" color="#000000" opacity="0"/>
              </v:shape>
              <w10:wrap type="square"/>
            </v:group>
          </w:pict>
        </mc:Fallback>
      </mc:AlternateContent>
    </w:r>
    <w:r>
      <w:rPr>
        <w:b/>
        <w:i/>
        <w:color w:val="1C1C1B"/>
      </w:rPr>
      <w:t>Expertgroep Kwaliteitskader:</w:t>
    </w:r>
  </w:p>
  <w:p w:rsidR="009926B0" w:rsidRDefault="009926B0">
    <w:pPr>
      <w:spacing w:after="0"/>
    </w:pPr>
    <w:r>
      <w:rPr>
        <w:i/>
        <w:color w:val="1C1C1B"/>
      </w:rPr>
      <w:t>Marieke Blanken, Trijntje Kootstra, Caroline Mobach, Katrien de Vaan en Els van der Weele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pPr>
      <w:spacing w:after="30"/>
    </w:pPr>
    <w:r>
      <w:rPr>
        <w:noProof/>
      </w:rPr>
      <mc:AlternateContent>
        <mc:Choice Requires="wpg">
          <w:drawing>
            <wp:anchor distT="0" distB="0" distL="114300" distR="114300" simplePos="0" relativeHeight="251664384" behindDoc="0" locked="0" layoutInCell="1" allowOverlap="1">
              <wp:simplePos x="0" y="0"/>
              <wp:positionH relativeFrom="page">
                <wp:posOffset>612000</wp:posOffset>
              </wp:positionH>
              <wp:positionV relativeFrom="page">
                <wp:posOffset>1057804</wp:posOffset>
              </wp:positionV>
              <wp:extent cx="6336005" cy="6350"/>
              <wp:effectExtent l="0" t="0" r="0" b="0"/>
              <wp:wrapSquare wrapText="bothSides"/>
              <wp:docPr id="35203" name="Group 35203"/>
              <wp:cNvGraphicFramePr/>
              <a:graphic xmlns:a="http://schemas.openxmlformats.org/drawingml/2006/main">
                <a:graphicData uri="http://schemas.microsoft.com/office/word/2010/wordprocessingGroup">
                  <wpg:wgp>
                    <wpg:cNvGrpSpPr/>
                    <wpg:grpSpPr>
                      <a:xfrm>
                        <a:off x="0" y="0"/>
                        <a:ext cx="6336005" cy="6350"/>
                        <a:chOff x="0" y="0"/>
                        <a:chExt cx="6336005" cy="6350"/>
                      </a:xfrm>
                    </wpg:grpSpPr>
                    <wps:wsp>
                      <wps:cNvPr id="35204" name="Shape 35204"/>
                      <wps:cNvSpPr/>
                      <wps:spPr>
                        <a:xfrm>
                          <a:off x="0" y="0"/>
                          <a:ext cx="6336005" cy="0"/>
                        </a:xfrm>
                        <a:custGeom>
                          <a:avLst/>
                          <a:gdLst/>
                          <a:ahLst/>
                          <a:cxnLst/>
                          <a:rect l="0" t="0" r="0" b="0"/>
                          <a:pathLst>
                            <a:path w="6336005">
                              <a:moveTo>
                                <a:pt x="0" y="0"/>
                              </a:moveTo>
                              <a:lnTo>
                                <a:pt x="6336005" y="0"/>
                              </a:lnTo>
                            </a:path>
                          </a:pathLst>
                        </a:custGeom>
                        <a:ln w="6350" cap="flat">
                          <a:miter lim="100000"/>
                        </a:ln>
                      </wps:spPr>
                      <wps:style>
                        <a:lnRef idx="1">
                          <a:srgbClr val="1C1C1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203" style="width:498.898pt;height:0.5pt;position:absolute;mso-position-horizontal-relative:page;mso-position-horizontal:absolute;margin-left:48.189pt;mso-position-vertical-relative:page;margin-top:83.2916pt;" coordsize="63360,63">
              <v:shape id="Shape 35204" style="position:absolute;width:63360;height:0;left:0;top:0;" coordsize="6336005,0" path="m0,0l6336005,0">
                <v:stroke weight="0.5pt" endcap="flat" joinstyle="miter" miterlimit="4" on="true" color="#1c1c1b"/>
                <v:fill on="false" color="#000000" opacity="0"/>
              </v:shape>
              <w10:wrap type="square"/>
            </v:group>
          </w:pict>
        </mc:Fallback>
      </mc:AlternateContent>
    </w:r>
    <w:r>
      <w:rPr>
        <w:b/>
        <w:i/>
        <w:color w:val="1C1C1B"/>
      </w:rPr>
      <w:t>Expertgroep Kwaliteitskader:</w:t>
    </w:r>
  </w:p>
  <w:p w:rsidR="009926B0" w:rsidRDefault="009926B0">
    <w:pPr>
      <w:spacing w:after="0"/>
    </w:pPr>
    <w:r>
      <w:rPr>
        <w:i/>
        <w:color w:val="1C1C1B"/>
      </w:rPr>
      <w:t>Marieke Blanken, Trijntje Kootstra, Caroline Mobach, Katrien de Vaan en Els van der Weele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5F" w:rsidRDefault="00102F5F" w:rsidP="00102F5F">
    <w:pPr>
      <w:tabs>
        <w:tab w:val="center" w:pos="4350"/>
      </w:tabs>
      <w:spacing w:after="0"/>
      <w:ind w:firstLine="1418"/>
    </w:pPr>
    <w:r>
      <w:rPr>
        <w:noProof/>
      </w:rPr>
      <w:drawing>
        <wp:anchor distT="0" distB="0" distL="114300" distR="114300" simplePos="0" relativeHeight="251667456" behindDoc="1" locked="0" layoutInCell="1" allowOverlap="1" wp14:anchorId="2E1205E1" wp14:editId="04784DAD">
          <wp:simplePos x="0" y="0"/>
          <wp:positionH relativeFrom="column">
            <wp:posOffset>-63500</wp:posOffset>
          </wp:positionH>
          <wp:positionV relativeFrom="paragraph">
            <wp:posOffset>-182408</wp:posOffset>
          </wp:positionV>
          <wp:extent cx="865848" cy="865848"/>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gramma icoon GHNT web.png"/>
                  <pic:cNvPicPr/>
                </pic:nvPicPr>
                <pic:blipFill>
                  <a:blip r:embed="rId1">
                    <a:extLst>
                      <a:ext uri="{28A0092B-C50C-407E-A947-70E740481C1C}">
                        <a14:useLocalDpi xmlns:a14="http://schemas.microsoft.com/office/drawing/2010/main" val="0"/>
                      </a:ext>
                    </a:extLst>
                  </a:blip>
                  <a:stretch>
                    <a:fillRect/>
                  </a:stretch>
                </pic:blipFill>
                <pic:spPr>
                  <a:xfrm>
                    <a:off x="0" y="0"/>
                    <a:ext cx="865848" cy="865848"/>
                  </a:xfrm>
                  <a:prstGeom prst="rect">
                    <a:avLst/>
                  </a:prstGeom>
                </pic:spPr>
              </pic:pic>
            </a:graphicData>
          </a:graphic>
          <wp14:sizeRelH relativeFrom="page">
            <wp14:pctWidth>0</wp14:pctWidth>
          </wp14:sizeRelH>
          <wp14:sizeRelV relativeFrom="page">
            <wp14:pctHeight>0</wp14:pctHeight>
          </wp14:sizeRelV>
        </wp:anchor>
      </w:drawing>
    </w:r>
    <w:r>
      <w:rPr>
        <w:color w:val="007BCA"/>
        <w:sz w:val="53"/>
      </w:rPr>
      <w:t>Geweld hoort nergens thuis</w:t>
    </w:r>
  </w:p>
  <w:p w:rsidR="00102F5F" w:rsidRDefault="00102F5F" w:rsidP="00102F5F">
    <w:pPr>
      <w:spacing w:after="400"/>
      <w:ind w:left="731" w:firstLine="692"/>
    </w:pPr>
    <w:r>
      <w:rPr>
        <w:color w:val="1C1C1B"/>
        <w:sz w:val="23"/>
      </w:rPr>
      <w:t>Aanpak huiselijk geweld en kindermishandeling</w:t>
    </w:r>
  </w:p>
  <w:p w:rsidR="009926B0" w:rsidRDefault="009926B0">
    <w:pPr>
      <w:spacing w:after="0"/>
    </w:pPr>
    <w:r>
      <w:rPr>
        <w:b/>
        <w:color w:val="E06F00"/>
        <w:sz w:val="42"/>
        <w:u w:val="single" w:color="E06F00"/>
      </w:rPr>
      <w:t xml:space="preserve">BIJLAGE 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5F" w:rsidRDefault="00102F5F" w:rsidP="00102F5F">
    <w:pPr>
      <w:tabs>
        <w:tab w:val="center" w:pos="4350"/>
      </w:tabs>
      <w:spacing w:after="0"/>
      <w:ind w:firstLine="1418"/>
    </w:pPr>
    <w:r>
      <w:rPr>
        <w:noProof/>
      </w:rPr>
      <w:drawing>
        <wp:anchor distT="0" distB="0" distL="114300" distR="114300" simplePos="0" relativeHeight="251669504" behindDoc="1" locked="0" layoutInCell="1" allowOverlap="1" wp14:anchorId="28B13BDA" wp14:editId="3251D71D">
          <wp:simplePos x="0" y="0"/>
          <wp:positionH relativeFrom="column">
            <wp:posOffset>-63500</wp:posOffset>
          </wp:positionH>
          <wp:positionV relativeFrom="paragraph">
            <wp:posOffset>-182408</wp:posOffset>
          </wp:positionV>
          <wp:extent cx="865848" cy="865848"/>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gramma icoon GHNT web.png"/>
                  <pic:cNvPicPr/>
                </pic:nvPicPr>
                <pic:blipFill>
                  <a:blip r:embed="rId1">
                    <a:extLst>
                      <a:ext uri="{28A0092B-C50C-407E-A947-70E740481C1C}">
                        <a14:useLocalDpi xmlns:a14="http://schemas.microsoft.com/office/drawing/2010/main" val="0"/>
                      </a:ext>
                    </a:extLst>
                  </a:blip>
                  <a:stretch>
                    <a:fillRect/>
                  </a:stretch>
                </pic:blipFill>
                <pic:spPr>
                  <a:xfrm>
                    <a:off x="0" y="0"/>
                    <a:ext cx="865848" cy="865848"/>
                  </a:xfrm>
                  <a:prstGeom prst="rect">
                    <a:avLst/>
                  </a:prstGeom>
                </pic:spPr>
              </pic:pic>
            </a:graphicData>
          </a:graphic>
          <wp14:sizeRelH relativeFrom="page">
            <wp14:pctWidth>0</wp14:pctWidth>
          </wp14:sizeRelH>
          <wp14:sizeRelV relativeFrom="page">
            <wp14:pctHeight>0</wp14:pctHeight>
          </wp14:sizeRelV>
        </wp:anchor>
      </w:drawing>
    </w:r>
    <w:r>
      <w:rPr>
        <w:color w:val="007BCA"/>
        <w:sz w:val="53"/>
      </w:rPr>
      <w:t>Geweld hoort nergens thuis</w:t>
    </w:r>
  </w:p>
  <w:p w:rsidR="00102F5F" w:rsidRDefault="00102F5F" w:rsidP="00102F5F">
    <w:pPr>
      <w:spacing w:after="400"/>
      <w:ind w:left="731" w:firstLine="692"/>
    </w:pPr>
    <w:r>
      <w:rPr>
        <w:color w:val="1C1C1B"/>
        <w:sz w:val="23"/>
      </w:rPr>
      <w:t>Aanpak huiselijk geweld en kindermishandeling</w:t>
    </w:r>
  </w:p>
  <w:p w:rsidR="009926B0" w:rsidRPr="00102F5F" w:rsidRDefault="00102F5F" w:rsidP="00FF1CE0">
    <w:pPr>
      <w:spacing w:after="0"/>
    </w:pPr>
    <w:r>
      <w:rPr>
        <w:b/>
        <w:color w:val="E06F00"/>
        <w:sz w:val="42"/>
        <w:u w:val="single" w:color="E06F00"/>
      </w:rPr>
      <w:t xml:space="preserve">BIJLAGE </w:t>
    </w:r>
    <w:r w:rsidR="00B4040C">
      <w:rPr>
        <w:b/>
        <w:color w:val="E06F00"/>
        <w:sz w:val="42"/>
        <w:u w:val="single" w:color="E06F00"/>
      </w:rPr>
      <w:t>3</w:t>
    </w:r>
    <w:r>
      <w:rPr>
        <w:b/>
        <w:color w:val="E06F00"/>
        <w:sz w:val="42"/>
        <w:u w:val="single" w:color="E06F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992" w:tblpY="935"/>
      <w:tblOverlap w:val="never"/>
      <w:tblW w:w="3118" w:type="dxa"/>
      <w:tblInd w:w="0" w:type="dxa"/>
      <w:tblCellMar>
        <w:left w:w="115" w:type="dxa"/>
        <w:right w:w="115" w:type="dxa"/>
      </w:tblCellMar>
      <w:tblLook w:val="04A0" w:firstRow="1" w:lastRow="0" w:firstColumn="1" w:lastColumn="0" w:noHBand="0" w:noVBand="1"/>
    </w:tblPr>
    <w:tblGrid>
      <w:gridCol w:w="3118"/>
    </w:tblGrid>
    <w:tr w:rsidR="009926B0">
      <w:trPr>
        <w:trHeight w:val="832"/>
      </w:trPr>
      <w:tc>
        <w:tcPr>
          <w:tcW w:w="3118" w:type="dxa"/>
          <w:tcBorders>
            <w:top w:val="single" w:sz="8" w:space="0" w:color="DADAD9"/>
            <w:left w:val="single" w:sz="8" w:space="0" w:color="DADAD9"/>
            <w:bottom w:val="single" w:sz="8" w:space="0" w:color="DADAD9"/>
            <w:right w:val="single" w:sz="8" w:space="0" w:color="DADAD9"/>
          </w:tcBorders>
          <w:vAlign w:val="center"/>
        </w:tcPr>
        <w:p w:rsidR="009926B0" w:rsidRDefault="009926B0">
          <w:pPr>
            <w:spacing w:after="0"/>
            <w:jc w:val="center"/>
          </w:pPr>
          <w:r>
            <w:rPr>
              <w:b/>
              <w:i/>
              <w:color w:val="DADAD9"/>
              <w:sz w:val="26"/>
            </w:rPr>
            <w:t>Logo gemeente/regio</w:t>
          </w:r>
        </w:p>
      </w:tc>
    </w:tr>
  </w:tbl>
  <w:p w:rsidR="009926B0" w:rsidRDefault="009926B0" w:rsidP="00482D15">
    <w:pPr>
      <w:spacing w:after="0"/>
      <w:ind w:right="634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pPr>
      <w:tabs>
        <w:tab w:val="center" w:pos="4339"/>
      </w:tabs>
      <w:spacing w:after="0"/>
    </w:pPr>
    <w:r>
      <w:rPr>
        <w:noProof/>
      </w:rPr>
      <mc:AlternateContent>
        <mc:Choice Requires="wpg">
          <w:drawing>
            <wp:anchor distT="0" distB="0" distL="114300" distR="114300" simplePos="0" relativeHeight="251661312" behindDoc="0" locked="0" layoutInCell="1" allowOverlap="1">
              <wp:simplePos x="0" y="0"/>
              <wp:positionH relativeFrom="page">
                <wp:posOffset>617662</wp:posOffset>
              </wp:positionH>
              <wp:positionV relativeFrom="page">
                <wp:posOffset>701091</wp:posOffset>
              </wp:positionV>
              <wp:extent cx="780680" cy="685570"/>
              <wp:effectExtent l="0" t="0" r="0" b="0"/>
              <wp:wrapSquare wrapText="bothSides"/>
              <wp:docPr id="34506" name="Group 34506"/>
              <wp:cNvGraphicFramePr/>
              <a:graphic xmlns:a="http://schemas.openxmlformats.org/drawingml/2006/main">
                <a:graphicData uri="http://schemas.microsoft.com/office/word/2010/wordprocessingGroup">
                  <wpg:wgp>
                    <wpg:cNvGrpSpPr/>
                    <wpg:grpSpPr>
                      <a:xfrm>
                        <a:off x="0" y="0"/>
                        <a:ext cx="780680" cy="685570"/>
                        <a:chOff x="0" y="0"/>
                        <a:chExt cx="780680" cy="685570"/>
                      </a:xfrm>
                    </wpg:grpSpPr>
                    <wps:wsp>
                      <wps:cNvPr id="34507" name="Shape 34507"/>
                      <wps:cNvSpPr/>
                      <wps:spPr>
                        <a:xfrm>
                          <a:off x="286234" y="414527"/>
                          <a:ext cx="125832" cy="100540"/>
                        </a:xfrm>
                        <a:custGeom>
                          <a:avLst/>
                          <a:gdLst/>
                          <a:ahLst/>
                          <a:cxnLst/>
                          <a:rect l="0" t="0" r="0" b="0"/>
                          <a:pathLst>
                            <a:path w="125832" h="100540">
                              <a:moveTo>
                                <a:pt x="18721" y="686"/>
                              </a:moveTo>
                              <a:cubicBezTo>
                                <a:pt x="23511" y="0"/>
                                <a:pt x="28562" y="1143"/>
                                <a:pt x="32741" y="4274"/>
                              </a:cubicBezTo>
                              <a:lnTo>
                                <a:pt x="115773" y="66504"/>
                              </a:lnTo>
                              <a:cubicBezTo>
                                <a:pt x="124130" y="72765"/>
                                <a:pt x="125832" y="84614"/>
                                <a:pt x="119558" y="92970"/>
                              </a:cubicBezTo>
                              <a:cubicBezTo>
                                <a:pt x="115849" y="97923"/>
                                <a:pt x="110173" y="100540"/>
                                <a:pt x="104419" y="100540"/>
                              </a:cubicBezTo>
                              <a:cubicBezTo>
                                <a:pt x="100470" y="100540"/>
                                <a:pt x="96495" y="99308"/>
                                <a:pt x="93091" y="96768"/>
                              </a:cubicBezTo>
                              <a:lnTo>
                                <a:pt x="10058" y="34538"/>
                              </a:lnTo>
                              <a:cubicBezTo>
                                <a:pt x="1702" y="28277"/>
                                <a:pt x="0" y="16427"/>
                                <a:pt x="6274" y="8071"/>
                              </a:cubicBezTo>
                              <a:cubicBezTo>
                                <a:pt x="9404" y="3886"/>
                                <a:pt x="13932" y="1372"/>
                                <a:pt x="18721" y="686"/>
                              </a:cubicBezTo>
                              <a:close/>
                            </a:path>
                          </a:pathLst>
                        </a:custGeom>
                        <a:ln w="0" cap="flat">
                          <a:miter lim="127000"/>
                        </a:ln>
                      </wps:spPr>
                      <wps:style>
                        <a:lnRef idx="0">
                          <a:srgbClr val="000000">
                            <a:alpha val="0"/>
                          </a:srgbClr>
                        </a:lnRef>
                        <a:fillRef idx="1">
                          <a:srgbClr val="E9506D"/>
                        </a:fillRef>
                        <a:effectRef idx="0">
                          <a:scrgbClr r="0" g="0" b="0"/>
                        </a:effectRef>
                        <a:fontRef idx="none"/>
                      </wps:style>
                      <wps:bodyPr/>
                    </wps:wsp>
                    <wps:wsp>
                      <wps:cNvPr id="34508" name="Shape 34508"/>
                      <wps:cNvSpPr/>
                      <wps:spPr>
                        <a:xfrm>
                          <a:off x="260495" y="293409"/>
                          <a:ext cx="93282" cy="159436"/>
                        </a:xfrm>
                        <a:custGeom>
                          <a:avLst/>
                          <a:gdLst/>
                          <a:ahLst/>
                          <a:cxnLst/>
                          <a:rect l="0" t="0" r="0" b="0"/>
                          <a:pathLst>
                            <a:path w="93282" h="159436">
                              <a:moveTo>
                                <a:pt x="74371" y="0"/>
                              </a:moveTo>
                              <a:cubicBezTo>
                                <a:pt x="84811" y="0"/>
                                <a:pt x="93282" y="8458"/>
                                <a:pt x="93282" y="18910"/>
                              </a:cubicBezTo>
                              <a:cubicBezTo>
                                <a:pt x="93282" y="29350"/>
                                <a:pt x="84811" y="37821"/>
                                <a:pt x="74371" y="37821"/>
                              </a:cubicBezTo>
                              <a:cubicBezTo>
                                <a:pt x="50584" y="37821"/>
                                <a:pt x="39789" y="58166"/>
                                <a:pt x="39649" y="78321"/>
                              </a:cubicBezTo>
                              <a:cubicBezTo>
                                <a:pt x="39649" y="78943"/>
                                <a:pt x="39611" y="79565"/>
                                <a:pt x="39548" y="80175"/>
                              </a:cubicBezTo>
                              <a:cubicBezTo>
                                <a:pt x="39459" y="81204"/>
                                <a:pt x="37274" y="108864"/>
                                <a:pt x="58763" y="125603"/>
                              </a:cubicBezTo>
                              <a:cubicBezTo>
                                <a:pt x="67005" y="132017"/>
                                <a:pt x="68478" y="143904"/>
                                <a:pt x="62065" y="152146"/>
                              </a:cubicBezTo>
                              <a:cubicBezTo>
                                <a:pt x="58331" y="156934"/>
                                <a:pt x="52756" y="159436"/>
                                <a:pt x="47130" y="159436"/>
                              </a:cubicBezTo>
                              <a:cubicBezTo>
                                <a:pt x="43066" y="159436"/>
                                <a:pt x="38976" y="158128"/>
                                <a:pt x="35522" y="155448"/>
                              </a:cubicBezTo>
                              <a:cubicBezTo>
                                <a:pt x="0" y="127775"/>
                                <a:pt x="1295" y="85014"/>
                                <a:pt x="1841" y="77343"/>
                              </a:cubicBezTo>
                              <a:cubicBezTo>
                                <a:pt x="2476" y="32487"/>
                                <a:pt x="32868" y="0"/>
                                <a:pt x="74371" y="0"/>
                              </a:cubicBezTo>
                              <a:close/>
                            </a:path>
                          </a:pathLst>
                        </a:custGeom>
                        <a:ln w="0" cap="flat">
                          <a:miter lim="127000"/>
                        </a:ln>
                      </wps:spPr>
                      <wps:style>
                        <a:lnRef idx="0">
                          <a:srgbClr val="000000">
                            <a:alpha val="0"/>
                          </a:srgbClr>
                        </a:lnRef>
                        <a:fillRef idx="1">
                          <a:srgbClr val="D01316"/>
                        </a:fillRef>
                        <a:effectRef idx="0">
                          <a:scrgbClr r="0" g="0" b="0"/>
                        </a:effectRef>
                        <a:fontRef idx="none"/>
                      </wps:style>
                      <wps:bodyPr/>
                    </wps:wsp>
                    <wps:wsp>
                      <wps:cNvPr id="34509" name="Shape 34509"/>
                      <wps:cNvSpPr/>
                      <wps:spPr>
                        <a:xfrm>
                          <a:off x="369269" y="446904"/>
                          <a:ext cx="82626" cy="68167"/>
                        </a:xfrm>
                        <a:custGeom>
                          <a:avLst/>
                          <a:gdLst/>
                          <a:ahLst/>
                          <a:cxnLst/>
                          <a:rect l="0" t="0" r="0" b="0"/>
                          <a:pathLst>
                            <a:path w="82626" h="68167">
                              <a:moveTo>
                                <a:pt x="63913" y="686"/>
                              </a:moveTo>
                              <a:cubicBezTo>
                                <a:pt x="68704" y="1372"/>
                                <a:pt x="73234" y="3886"/>
                                <a:pt x="76365" y="8071"/>
                              </a:cubicBezTo>
                              <a:cubicBezTo>
                                <a:pt x="82626" y="16415"/>
                                <a:pt x="80937" y="28277"/>
                                <a:pt x="72580" y="34538"/>
                              </a:cubicBezTo>
                              <a:lnTo>
                                <a:pt x="32741" y="64395"/>
                              </a:lnTo>
                              <a:cubicBezTo>
                                <a:pt x="29337" y="66935"/>
                                <a:pt x="25362" y="68167"/>
                                <a:pt x="21412" y="68167"/>
                              </a:cubicBezTo>
                              <a:cubicBezTo>
                                <a:pt x="15659" y="68167"/>
                                <a:pt x="9982" y="65551"/>
                                <a:pt x="6261" y="60598"/>
                              </a:cubicBezTo>
                              <a:cubicBezTo>
                                <a:pt x="0" y="52241"/>
                                <a:pt x="1702" y="40392"/>
                                <a:pt x="10058" y="34131"/>
                              </a:cubicBezTo>
                              <a:lnTo>
                                <a:pt x="49898" y="4274"/>
                              </a:lnTo>
                              <a:cubicBezTo>
                                <a:pt x="54070" y="1143"/>
                                <a:pt x="59122" y="0"/>
                                <a:pt x="63913" y="686"/>
                              </a:cubicBezTo>
                              <a:close/>
                            </a:path>
                          </a:pathLst>
                        </a:custGeom>
                        <a:ln w="0" cap="flat">
                          <a:miter lim="127000"/>
                        </a:ln>
                      </wps:spPr>
                      <wps:style>
                        <a:lnRef idx="0">
                          <a:srgbClr val="000000">
                            <a:alpha val="0"/>
                          </a:srgbClr>
                        </a:lnRef>
                        <a:fillRef idx="1">
                          <a:srgbClr val="A76CAA"/>
                        </a:fillRef>
                        <a:effectRef idx="0">
                          <a:scrgbClr r="0" g="0" b="0"/>
                        </a:effectRef>
                        <a:fontRef idx="none"/>
                      </wps:style>
                      <wps:bodyPr/>
                    </wps:wsp>
                    <wps:wsp>
                      <wps:cNvPr id="34510" name="Shape 34510"/>
                      <wps:cNvSpPr/>
                      <wps:spPr>
                        <a:xfrm>
                          <a:off x="409108" y="293410"/>
                          <a:ext cx="111735" cy="191808"/>
                        </a:xfrm>
                        <a:custGeom>
                          <a:avLst/>
                          <a:gdLst/>
                          <a:ahLst/>
                          <a:cxnLst/>
                          <a:rect l="0" t="0" r="0" b="0"/>
                          <a:pathLst>
                            <a:path w="111735" h="191808">
                              <a:moveTo>
                                <a:pt x="37363" y="0"/>
                              </a:moveTo>
                              <a:cubicBezTo>
                                <a:pt x="78854" y="0"/>
                                <a:pt x="109258" y="32487"/>
                                <a:pt x="109893" y="77343"/>
                              </a:cubicBezTo>
                              <a:cubicBezTo>
                                <a:pt x="110439" y="84988"/>
                                <a:pt x="111735" y="127775"/>
                                <a:pt x="76213" y="155448"/>
                              </a:cubicBezTo>
                              <a:lnTo>
                                <a:pt x="32741" y="188036"/>
                              </a:lnTo>
                              <a:cubicBezTo>
                                <a:pt x="29337" y="190576"/>
                                <a:pt x="25362" y="191808"/>
                                <a:pt x="21412" y="191808"/>
                              </a:cubicBezTo>
                              <a:cubicBezTo>
                                <a:pt x="15659" y="191808"/>
                                <a:pt x="9982" y="189192"/>
                                <a:pt x="6261" y="184239"/>
                              </a:cubicBezTo>
                              <a:cubicBezTo>
                                <a:pt x="0" y="175882"/>
                                <a:pt x="1702" y="164033"/>
                                <a:pt x="10058" y="157759"/>
                              </a:cubicBezTo>
                              <a:lnTo>
                                <a:pt x="53251" y="125387"/>
                              </a:lnTo>
                              <a:cubicBezTo>
                                <a:pt x="74536" y="108814"/>
                                <a:pt x="72225" y="80454"/>
                                <a:pt x="72187" y="80175"/>
                              </a:cubicBezTo>
                              <a:cubicBezTo>
                                <a:pt x="72123" y="79553"/>
                                <a:pt x="72085" y="78943"/>
                                <a:pt x="72085" y="78334"/>
                              </a:cubicBezTo>
                              <a:cubicBezTo>
                                <a:pt x="71946" y="58166"/>
                                <a:pt x="61150" y="37821"/>
                                <a:pt x="37363" y="37821"/>
                              </a:cubicBezTo>
                              <a:cubicBezTo>
                                <a:pt x="26924" y="37821"/>
                                <a:pt x="18453" y="29350"/>
                                <a:pt x="18453" y="18910"/>
                              </a:cubicBezTo>
                              <a:cubicBezTo>
                                <a:pt x="18453" y="8458"/>
                                <a:pt x="26924" y="0"/>
                                <a:pt x="37363" y="0"/>
                              </a:cubicBezTo>
                              <a:close/>
                            </a:path>
                          </a:pathLst>
                        </a:custGeom>
                        <a:ln w="0" cap="flat">
                          <a:miter lim="127000"/>
                        </a:ln>
                      </wps:spPr>
                      <wps:style>
                        <a:lnRef idx="0">
                          <a:srgbClr val="000000">
                            <a:alpha val="0"/>
                          </a:srgbClr>
                        </a:lnRef>
                        <a:fillRef idx="1">
                          <a:srgbClr val="047CAF"/>
                        </a:fillRef>
                        <a:effectRef idx="0">
                          <a:scrgbClr r="0" g="0" b="0"/>
                        </a:effectRef>
                        <a:fontRef idx="none"/>
                      </wps:style>
                      <wps:bodyPr/>
                    </wps:wsp>
                    <wps:wsp>
                      <wps:cNvPr id="34511" name="Shape 34511"/>
                      <wps:cNvSpPr/>
                      <wps:spPr>
                        <a:xfrm>
                          <a:off x="114579" y="533548"/>
                          <a:ext cx="450532" cy="152019"/>
                        </a:xfrm>
                        <a:custGeom>
                          <a:avLst/>
                          <a:gdLst/>
                          <a:ahLst/>
                          <a:cxnLst/>
                          <a:rect l="0" t="0" r="0" b="0"/>
                          <a:pathLst>
                            <a:path w="450532" h="152019">
                              <a:moveTo>
                                <a:pt x="18910" y="0"/>
                              </a:moveTo>
                              <a:cubicBezTo>
                                <a:pt x="29362" y="0"/>
                                <a:pt x="37821" y="8471"/>
                                <a:pt x="37821" y="18910"/>
                              </a:cubicBezTo>
                              <a:lnTo>
                                <a:pt x="37821" y="114198"/>
                              </a:lnTo>
                              <a:lnTo>
                                <a:pt x="431622" y="114198"/>
                              </a:lnTo>
                              <a:cubicBezTo>
                                <a:pt x="442062" y="114198"/>
                                <a:pt x="450532" y="122669"/>
                                <a:pt x="450532" y="133109"/>
                              </a:cubicBezTo>
                              <a:cubicBezTo>
                                <a:pt x="450532" y="143548"/>
                                <a:pt x="442062" y="152019"/>
                                <a:pt x="431622" y="152019"/>
                              </a:cubicBezTo>
                              <a:lnTo>
                                <a:pt x="18910" y="152019"/>
                              </a:lnTo>
                              <a:cubicBezTo>
                                <a:pt x="8471" y="152019"/>
                                <a:pt x="0" y="143548"/>
                                <a:pt x="0" y="133109"/>
                              </a:cubicBezTo>
                              <a:lnTo>
                                <a:pt x="0" y="18910"/>
                              </a:lnTo>
                              <a:cubicBezTo>
                                <a:pt x="0" y="8471"/>
                                <a:pt x="8471" y="0"/>
                                <a:pt x="18910" y="0"/>
                              </a:cubicBezTo>
                              <a:close/>
                            </a:path>
                          </a:pathLst>
                        </a:custGeom>
                        <a:ln w="0" cap="flat">
                          <a:miter lim="127000"/>
                        </a:ln>
                      </wps:spPr>
                      <wps:style>
                        <a:lnRef idx="0">
                          <a:srgbClr val="000000">
                            <a:alpha val="0"/>
                          </a:srgbClr>
                        </a:lnRef>
                        <a:fillRef idx="1">
                          <a:srgbClr val="0D7FC3"/>
                        </a:fillRef>
                        <a:effectRef idx="0">
                          <a:scrgbClr r="0" g="0" b="0"/>
                        </a:effectRef>
                        <a:fontRef idx="none"/>
                      </wps:style>
                      <wps:bodyPr/>
                    </wps:wsp>
                    <wps:wsp>
                      <wps:cNvPr id="34512" name="Shape 34512"/>
                      <wps:cNvSpPr/>
                      <wps:spPr>
                        <a:xfrm>
                          <a:off x="0" y="112426"/>
                          <a:ext cx="247104" cy="156607"/>
                        </a:xfrm>
                        <a:custGeom>
                          <a:avLst/>
                          <a:gdLst/>
                          <a:ahLst/>
                          <a:cxnLst/>
                          <a:rect l="0" t="0" r="0" b="0"/>
                          <a:pathLst>
                            <a:path w="247104" h="156607">
                              <a:moveTo>
                                <a:pt x="230368" y="1246"/>
                              </a:moveTo>
                              <a:cubicBezTo>
                                <a:pt x="235045" y="2492"/>
                                <a:pt x="239249" y="5521"/>
                                <a:pt x="241872" y="10036"/>
                              </a:cubicBezTo>
                              <a:cubicBezTo>
                                <a:pt x="247104" y="19079"/>
                                <a:pt x="244018" y="30648"/>
                                <a:pt x="234988" y="35881"/>
                              </a:cubicBezTo>
                              <a:lnTo>
                                <a:pt x="31077" y="154054"/>
                              </a:lnTo>
                              <a:cubicBezTo>
                                <a:pt x="28092" y="155781"/>
                                <a:pt x="24828" y="156607"/>
                                <a:pt x="21615" y="156607"/>
                              </a:cubicBezTo>
                              <a:cubicBezTo>
                                <a:pt x="15088" y="156607"/>
                                <a:pt x="8750" y="153229"/>
                                <a:pt x="5232" y="147184"/>
                              </a:cubicBezTo>
                              <a:cubicBezTo>
                                <a:pt x="0" y="138141"/>
                                <a:pt x="3073" y="126571"/>
                                <a:pt x="12116" y="121339"/>
                              </a:cubicBezTo>
                              <a:lnTo>
                                <a:pt x="216027" y="3153"/>
                              </a:lnTo>
                              <a:cubicBezTo>
                                <a:pt x="220542" y="537"/>
                                <a:pt x="225692" y="0"/>
                                <a:pt x="230368" y="1246"/>
                              </a:cubicBezTo>
                              <a:close/>
                            </a:path>
                          </a:pathLst>
                        </a:custGeom>
                        <a:ln w="0" cap="flat">
                          <a:miter lim="127000"/>
                        </a:ln>
                      </wps:spPr>
                      <wps:style>
                        <a:lnRef idx="0">
                          <a:srgbClr val="000000">
                            <a:alpha val="0"/>
                          </a:srgbClr>
                        </a:lnRef>
                        <a:fillRef idx="1">
                          <a:srgbClr val="0D7FC3"/>
                        </a:fillRef>
                        <a:effectRef idx="0">
                          <a:scrgbClr r="0" g="0" b="0"/>
                        </a:effectRef>
                        <a:fontRef idx="none"/>
                      </wps:style>
                      <wps:bodyPr/>
                    </wps:wsp>
                    <wps:wsp>
                      <wps:cNvPr id="34513" name="Shape 34513"/>
                      <wps:cNvSpPr/>
                      <wps:spPr>
                        <a:xfrm>
                          <a:off x="2695" y="231212"/>
                          <a:ext cx="149708" cy="340157"/>
                        </a:xfrm>
                        <a:custGeom>
                          <a:avLst/>
                          <a:gdLst/>
                          <a:ahLst/>
                          <a:cxnLst/>
                          <a:rect l="0" t="0" r="0" b="0"/>
                          <a:pathLst>
                            <a:path w="149708" h="340157">
                              <a:moveTo>
                                <a:pt x="18898" y="0"/>
                              </a:moveTo>
                              <a:lnTo>
                                <a:pt x="130797" y="0"/>
                              </a:lnTo>
                              <a:cubicBezTo>
                                <a:pt x="141237" y="0"/>
                                <a:pt x="149708" y="8471"/>
                                <a:pt x="149708" y="18910"/>
                              </a:cubicBezTo>
                              <a:lnTo>
                                <a:pt x="149708" y="321246"/>
                              </a:lnTo>
                              <a:cubicBezTo>
                                <a:pt x="149708" y="331686"/>
                                <a:pt x="141237" y="340157"/>
                                <a:pt x="130797" y="340157"/>
                              </a:cubicBezTo>
                              <a:cubicBezTo>
                                <a:pt x="120358" y="340157"/>
                                <a:pt x="111887" y="331686"/>
                                <a:pt x="111887" y="321246"/>
                              </a:cubicBezTo>
                              <a:lnTo>
                                <a:pt x="111887" y="37821"/>
                              </a:lnTo>
                              <a:lnTo>
                                <a:pt x="18898" y="37821"/>
                              </a:lnTo>
                              <a:cubicBezTo>
                                <a:pt x="13678" y="37821"/>
                                <a:pt x="8950" y="35703"/>
                                <a:pt x="5528" y="32280"/>
                              </a:cubicBezTo>
                              <a:lnTo>
                                <a:pt x="0" y="18941"/>
                              </a:lnTo>
                              <a:lnTo>
                                <a:pt x="0" y="18880"/>
                              </a:lnTo>
                              <a:lnTo>
                                <a:pt x="5528" y="5540"/>
                              </a:lnTo>
                              <a:cubicBezTo>
                                <a:pt x="8950" y="2118"/>
                                <a:pt x="13678" y="0"/>
                                <a:pt x="18898" y="0"/>
                              </a:cubicBezTo>
                              <a:close/>
                            </a:path>
                          </a:pathLst>
                        </a:custGeom>
                        <a:ln w="0" cap="flat">
                          <a:miter lim="127000"/>
                        </a:ln>
                      </wps:spPr>
                      <wps:style>
                        <a:lnRef idx="0">
                          <a:srgbClr val="000000">
                            <a:alpha val="0"/>
                          </a:srgbClr>
                        </a:lnRef>
                        <a:fillRef idx="1">
                          <a:srgbClr val="0BB9ED"/>
                        </a:fillRef>
                        <a:effectRef idx="0">
                          <a:scrgbClr r="0" g="0" b="0"/>
                        </a:effectRef>
                        <a:fontRef idx="none"/>
                      </wps:style>
                      <wps:bodyPr/>
                    </wps:wsp>
                    <wps:wsp>
                      <wps:cNvPr id="34514" name="Shape 34514"/>
                      <wps:cNvSpPr/>
                      <wps:spPr>
                        <a:xfrm>
                          <a:off x="206590" y="0"/>
                          <a:ext cx="574091" cy="269039"/>
                        </a:xfrm>
                        <a:custGeom>
                          <a:avLst/>
                          <a:gdLst/>
                          <a:ahLst/>
                          <a:cxnLst/>
                          <a:rect l="0" t="0" r="0" b="0"/>
                          <a:pathLst>
                            <a:path w="574091" h="269039">
                              <a:moveTo>
                                <a:pt x="18884" y="0"/>
                              </a:moveTo>
                              <a:lnTo>
                                <a:pt x="106490" y="0"/>
                              </a:lnTo>
                              <a:lnTo>
                                <a:pt x="119834" y="5530"/>
                              </a:lnTo>
                              <a:cubicBezTo>
                                <a:pt x="123257" y="8952"/>
                                <a:pt x="125374" y="13680"/>
                                <a:pt x="125374" y="18900"/>
                              </a:cubicBezTo>
                              <a:lnTo>
                                <a:pt x="125374" y="46916"/>
                              </a:lnTo>
                              <a:lnTo>
                                <a:pt x="174828" y="20449"/>
                              </a:lnTo>
                              <a:cubicBezTo>
                                <a:pt x="180581" y="17363"/>
                                <a:pt x="187541" y="17477"/>
                                <a:pt x="193205" y="20754"/>
                              </a:cubicBezTo>
                              <a:lnTo>
                                <a:pt x="561950" y="233745"/>
                              </a:lnTo>
                              <a:cubicBezTo>
                                <a:pt x="570992" y="238965"/>
                                <a:pt x="574091" y="250535"/>
                                <a:pt x="568858" y="259577"/>
                              </a:cubicBezTo>
                              <a:cubicBezTo>
                                <a:pt x="565353" y="265648"/>
                                <a:pt x="559003" y="269039"/>
                                <a:pt x="552475" y="269039"/>
                              </a:cubicBezTo>
                              <a:cubicBezTo>
                                <a:pt x="549262" y="269039"/>
                                <a:pt x="545998" y="268213"/>
                                <a:pt x="543027" y="266499"/>
                              </a:cubicBezTo>
                              <a:lnTo>
                                <a:pt x="183388" y="58752"/>
                              </a:lnTo>
                              <a:lnTo>
                                <a:pt x="115392" y="95150"/>
                              </a:lnTo>
                              <a:cubicBezTo>
                                <a:pt x="109538" y="98287"/>
                                <a:pt x="102451" y="98122"/>
                                <a:pt x="96749" y="94706"/>
                              </a:cubicBezTo>
                              <a:cubicBezTo>
                                <a:pt x="91046" y="91290"/>
                                <a:pt x="87554" y="85130"/>
                                <a:pt x="87554" y="78475"/>
                              </a:cubicBezTo>
                              <a:lnTo>
                                <a:pt x="87554" y="37810"/>
                              </a:lnTo>
                              <a:lnTo>
                                <a:pt x="37821" y="37810"/>
                              </a:lnTo>
                              <a:lnTo>
                                <a:pt x="37821" y="131942"/>
                              </a:lnTo>
                              <a:cubicBezTo>
                                <a:pt x="37821" y="142382"/>
                                <a:pt x="29362" y="150853"/>
                                <a:pt x="18910" y="150853"/>
                              </a:cubicBezTo>
                              <a:cubicBezTo>
                                <a:pt x="8471" y="150853"/>
                                <a:pt x="0" y="142382"/>
                                <a:pt x="0" y="131942"/>
                              </a:cubicBezTo>
                              <a:lnTo>
                                <a:pt x="0" y="18900"/>
                              </a:lnTo>
                              <a:cubicBezTo>
                                <a:pt x="0" y="13680"/>
                                <a:pt x="2118" y="8952"/>
                                <a:pt x="5540" y="5530"/>
                              </a:cubicBezTo>
                              <a:lnTo>
                                <a:pt x="18884" y="0"/>
                              </a:lnTo>
                              <a:close/>
                            </a:path>
                          </a:pathLst>
                        </a:custGeom>
                        <a:ln w="0" cap="flat">
                          <a:miter lim="127000"/>
                        </a:ln>
                      </wps:spPr>
                      <wps:style>
                        <a:lnRef idx="0">
                          <a:srgbClr val="000000">
                            <a:alpha val="0"/>
                          </a:srgbClr>
                        </a:lnRef>
                        <a:fillRef idx="1">
                          <a:srgbClr val="0BB9ED"/>
                        </a:fillRef>
                        <a:effectRef idx="0">
                          <a:scrgbClr r="0" g="0" b="0"/>
                        </a:effectRef>
                        <a:fontRef idx="none"/>
                      </wps:style>
                      <wps:bodyPr/>
                    </wps:wsp>
                    <wps:wsp>
                      <wps:cNvPr id="34515" name="Shape 34515"/>
                      <wps:cNvSpPr/>
                      <wps:spPr>
                        <a:xfrm>
                          <a:off x="527294" y="231215"/>
                          <a:ext cx="250698" cy="454355"/>
                        </a:xfrm>
                        <a:custGeom>
                          <a:avLst/>
                          <a:gdLst/>
                          <a:ahLst/>
                          <a:cxnLst/>
                          <a:rect l="0" t="0" r="0" b="0"/>
                          <a:pathLst>
                            <a:path w="250698" h="454355">
                              <a:moveTo>
                                <a:pt x="112103" y="0"/>
                              </a:moveTo>
                              <a:lnTo>
                                <a:pt x="231788" y="0"/>
                              </a:lnTo>
                              <a:cubicBezTo>
                                <a:pt x="242227" y="0"/>
                                <a:pt x="250698" y="8458"/>
                                <a:pt x="250698" y="18910"/>
                              </a:cubicBezTo>
                              <a:cubicBezTo>
                                <a:pt x="250698" y="29350"/>
                                <a:pt x="242227" y="37821"/>
                                <a:pt x="231788" y="37821"/>
                              </a:cubicBezTo>
                              <a:lnTo>
                                <a:pt x="131013" y="37821"/>
                              </a:lnTo>
                              <a:lnTo>
                                <a:pt x="131013" y="435445"/>
                              </a:lnTo>
                              <a:cubicBezTo>
                                <a:pt x="131013" y="445884"/>
                                <a:pt x="122542" y="454355"/>
                                <a:pt x="112103" y="454355"/>
                              </a:cubicBezTo>
                              <a:lnTo>
                                <a:pt x="18910" y="454355"/>
                              </a:lnTo>
                              <a:cubicBezTo>
                                <a:pt x="8458" y="454355"/>
                                <a:pt x="0" y="445884"/>
                                <a:pt x="0" y="435445"/>
                              </a:cubicBezTo>
                              <a:cubicBezTo>
                                <a:pt x="0" y="425006"/>
                                <a:pt x="8458" y="416535"/>
                                <a:pt x="18910" y="416535"/>
                              </a:cubicBezTo>
                              <a:lnTo>
                                <a:pt x="93193" y="416535"/>
                              </a:lnTo>
                              <a:lnTo>
                                <a:pt x="93193" y="18910"/>
                              </a:lnTo>
                              <a:cubicBezTo>
                                <a:pt x="93193" y="8458"/>
                                <a:pt x="101663" y="0"/>
                                <a:pt x="112103" y="0"/>
                              </a:cubicBezTo>
                              <a:close/>
                            </a:path>
                          </a:pathLst>
                        </a:custGeom>
                        <a:ln w="0" cap="flat">
                          <a:miter lim="127000"/>
                        </a:ln>
                      </wps:spPr>
                      <wps:style>
                        <a:lnRef idx="0">
                          <a:srgbClr val="000000">
                            <a:alpha val="0"/>
                          </a:srgbClr>
                        </a:lnRef>
                        <a:fillRef idx="1">
                          <a:srgbClr val="169BD8"/>
                        </a:fillRef>
                        <a:effectRef idx="0">
                          <a:scrgbClr r="0" g="0" b="0"/>
                        </a:effectRef>
                        <a:fontRef idx="none"/>
                      </wps:style>
                      <wps:bodyPr/>
                    </wps:wsp>
                    <wps:wsp>
                      <wps:cNvPr id="34516" name="Shape 34516"/>
                      <wps:cNvSpPr/>
                      <wps:spPr>
                        <a:xfrm>
                          <a:off x="193426" y="206326"/>
                          <a:ext cx="85941" cy="74117"/>
                        </a:xfrm>
                        <a:custGeom>
                          <a:avLst/>
                          <a:gdLst/>
                          <a:ahLst/>
                          <a:cxnLst/>
                          <a:rect l="0" t="0" r="0" b="0"/>
                          <a:pathLst>
                            <a:path w="85941" h="74117">
                              <a:moveTo>
                                <a:pt x="19433" y="459"/>
                              </a:moveTo>
                              <a:cubicBezTo>
                                <a:pt x="24251" y="0"/>
                                <a:pt x="29242" y="1378"/>
                                <a:pt x="33261" y="4699"/>
                              </a:cubicBezTo>
                              <a:lnTo>
                                <a:pt x="76759" y="40627"/>
                              </a:lnTo>
                              <a:cubicBezTo>
                                <a:pt x="84811" y="47282"/>
                                <a:pt x="85941" y="59195"/>
                                <a:pt x="79299" y="67246"/>
                              </a:cubicBezTo>
                              <a:cubicBezTo>
                                <a:pt x="75552" y="71780"/>
                                <a:pt x="70155" y="74117"/>
                                <a:pt x="64707" y="74117"/>
                              </a:cubicBezTo>
                              <a:cubicBezTo>
                                <a:pt x="60465" y="74117"/>
                                <a:pt x="56198" y="72695"/>
                                <a:pt x="52680" y="69786"/>
                              </a:cubicBezTo>
                              <a:lnTo>
                                <a:pt x="9182" y="33858"/>
                              </a:lnTo>
                              <a:cubicBezTo>
                                <a:pt x="1130" y="27216"/>
                                <a:pt x="0" y="15291"/>
                                <a:pt x="6642" y="7239"/>
                              </a:cubicBezTo>
                              <a:cubicBezTo>
                                <a:pt x="9970" y="3213"/>
                                <a:pt x="14615" y="918"/>
                                <a:pt x="19433" y="459"/>
                              </a:cubicBezTo>
                              <a:close/>
                            </a:path>
                          </a:pathLst>
                        </a:custGeom>
                        <a:ln w="0" cap="flat">
                          <a:miter lim="127000"/>
                        </a:ln>
                      </wps:spPr>
                      <wps:style>
                        <a:lnRef idx="0">
                          <a:srgbClr val="000000">
                            <a:alpha val="0"/>
                          </a:srgbClr>
                        </a:lnRef>
                        <a:fillRef idx="1">
                          <a:srgbClr val="6F9CD3"/>
                        </a:fillRef>
                        <a:effectRef idx="0">
                          <a:scrgbClr r="0" g="0" b="0"/>
                        </a:effectRef>
                        <a:fontRef idx="none"/>
                      </wps:style>
                      <wps:bodyPr/>
                    </wps:wsp>
                    <wps:wsp>
                      <wps:cNvPr id="34517" name="Shape 34517"/>
                      <wps:cNvSpPr/>
                      <wps:spPr>
                        <a:xfrm>
                          <a:off x="502280" y="206326"/>
                          <a:ext cx="85954" cy="74117"/>
                        </a:xfrm>
                        <a:custGeom>
                          <a:avLst/>
                          <a:gdLst/>
                          <a:ahLst/>
                          <a:cxnLst/>
                          <a:rect l="0" t="0" r="0" b="0"/>
                          <a:pathLst>
                            <a:path w="85954" h="74117">
                              <a:moveTo>
                                <a:pt x="66513" y="459"/>
                              </a:moveTo>
                              <a:cubicBezTo>
                                <a:pt x="71329" y="918"/>
                                <a:pt x="75971" y="3213"/>
                                <a:pt x="79299" y="7239"/>
                              </a:cubicBezTo>
                              <a:cubicBezTo>
                                <a:pt x="85954" y="15291"/>
                                <a:pt x="84823" y="27216"/>
                                <a:pt x="76771" y="33858"/>
                              </a:cubicBezTo>
                              <a:lnTo>
                                <a:pt x="33274" y="69786"/>
                              </a:lnTo>
                              <a:cubicBezTo>
                                <a:pt x="29743" y="72695"/>
                                <a:pt x="25476" y="74117"/>
                                <a:pt x="21234" y="74117"/>
                              </a:cubicBezTo>
                              <a:cubicBezTo>
                                <a:pt x="15799" y="74117"/>
                                <a:pt x="10389" y="71780"/>
                                <a:pt x="6655" y="67246"/>
                              </a:cubicBezTo>
                              <a:cubicBezTo>
                                <a:pt x="0" y="59195"/>
                                <a:pt x="1130" y="47282"/>
                                <a:pt x="9182" y="40627"/>
                              </a:cubicBezTo>
                              <a:lnTo>
                                <a:pt x="52680" y="4699"/>
                              </a:lnTo>
                              <a:cubicBezTo>
                                <a:pt x="56705" y="1378"/>
                                <a:pt x="61697" y="0"/>
                                <a:pt x="66513" y="459"/>
                              </a:cubicBezTo>
                              <a:close/>
                            </a:path>
                          </a:pathLst>
                        </a:custGeom>
                        <a:ln w="0" cap="flat">
                          <a:miter lim="127000"/>
                        </a:ln>
                      </wps:spPr>
                      <wps:style>
                        <a:lnRef idx="0">
                          <a:srgbClr val="000000">
                            <a:alpha val="0"/>
                          </a:srgbClr>
                        </a:lnRef>
                        <a:fillRef idx="1">
                          <a:srgbClr val="A76CAA"/>
                        </a:fillRef>
                        <a:effectRef idx="0">
                          <a:scrgbClr r="0" g="0" b="0"/>
                        </a:effectRef>
                        <a:fontRef idx="none"/>
                      </wps:style>
                      <wps:bodyPr/>
                    </wps:wsp>
                    <wps:wsp>
                      <wps:cNvPr id="34518" name="Shape 34518"/>
                      <wps:cNvSpPr/>
                      <wps:spPr>
                        <a:xfrm>
                          <a:off x="371075" y="158732"/>
                          <a:ext cx="38189" cy="85979"/>
                        </a:xfrm>
                        <a:custGeom>
                          <a:avLst/>
                          <a:gdLst/>
                          <a:ahLst/>
                          <a:cxnLst/>
                          <a:rect l="0" t="0" r="0" b="0"/>
                          <a:pathLst>
                            <a:path w="38189" h="85979">
                              <a:moveTo>
                                <a:pt x="18860" y="0"/>
                              </a:moveTo>
                              <a:lnTo>
                                <a:pt x="18961" y="0"/>
                              </a:lnTo>
                              <a:cubicBezTo>
                                <a:pt x="29362" y="0"/>
                                <a:pt x="37821" y="8395"/>
                                <a:pt x="37871" y="18809"/>
                              </a:cubicBezTo>
                              <a:lnTo>
                                <a:pt x="38138" y="66967"/>
                              </a:lnTo>
                              <a:cubicBezTo>
                                <a:pt x="38189" y="77406"/>
                                <a:pt x="29782" y="85915"/>
                                <a:pt x="19329" y="85979"/>
                              </a:cubicBezTo>
                              <a:lnTo>
                                <a:pt x="19228" y="85979"/>
                              </a:lnTo>
                              <a:cubicBezTo>
                                <a:pt x="8839" y="85979"/>
                                <a:pt x="381" y="77584"/>
                                <a:pt x="318" y="67170"/>
                              </a:cubicBezTo>
                              <a:lnTo>
                                <a:pt x="51" y="19012"/>
                              </a:lnTo>
                              <a:cubicBezTo>
                                <a:pt x="0" y="8572"/>
                                <a:pt x="8420" y="51"/>
                                <a:pt x="18860" y="0"/>
                              </a:cubicBezTo>
                              <a:close/>
                            </a:path>
                          </a:pathLst>
                        </a:custGeom>
                        <a:ln w="0" cap="flat">
                          <a:miter lim="127000"/>
                        </a:ln>
                      </wps:spPr>
                      <wps:style>
                        <a:lnRef idx="0">
                          <a:srgbClr val="000000">
                            <a:alpha val="0"/>
                          </a:srgbClr>
                        </a:lnRef>
                        <a:fillRef idx="1">
                          <a:srgbClr val="BA7BB1"/>
                        </a:fillRef>
                        <a:effectRef idx="0">
                          <a:scrgbClr r="0" g="0" b="0"/>
                        </a:effectRef>
                        <a:fontRef idx="none"/>
                      </wps:style>
                      <wps:bodyPr/>
                    </wps:wsp>
                    <wps:wsp>
                      <wps:cNvPr id="34519" name="Shape 34519"/>
                      <wps:cNvSpPr/>
                      <wps:spPr>
                        <a:xfrm>
                          <a:off x="502274" y="504205"/>
                          <a:ext cx="85954" cy="74124"/>
                        </a:xfrm>
                        <a:custGeom>
                          <a:avLst/>
                          <a:gdLst/>
                          <a:ahLst/>
                          <a:cxnLst/>
                          <a:rect l="0" t="0" r="0" b="0"/>
                          <a:pathLst>
                            <a:path w="85954" h="74124">
                              <a:moveTo>
                                <a:pt x="19441" y="460"/>
                              </a:moveTo>
                              <a:cubicBezTo>
                                <a:pt x="24257" y="0"/>
                                <a:pt x="29248" y="1378"/>
                                <a:pt x="33274" y="4705"/>
                              </a:cubicBezTo>
                              <a:lnTo>
                                <a:pt x="76771" y="40634"/>
                              </a:lnTo>
                              <a:cubicBezTo>
                                <a:pt x="84823" y="47288"/>
                                <a:pt x="85954" y="59201"/>
                                <a:pt x="79312" y="67266"/>
                              </a:cubicBezTo>
                              <a:cubicBezTo>
                                <a:pt x="75565" y="71787"/>
                                <a:pt x="70155" y="74124"/>
                                <a:pt x="64719" y="74124"/>
                              </a:cubicBezTo>
                              <a:cubicBezTo>
                                <a:pt x="60477" y="74124"/>
                                <a:pt x="56210" y="72701"/>
                                <a:pt x="52680" y="69793"/>
                              </a:cubicBezTo>
                              <a:lnTo>
                                <a:pt x="9195" y="33865"/>
                              </a:lnTo>
                              <a:cubicBezTo>
                                <a:pt x="1143" y="27210"/>
                                <a:pt x="0" y="15297"/>
                                <a:pt x="6655" y="7245"/>
                              </a:cubicBezTo>
                              <a:cubicBezTo>
                                <a:pt x="9982" y="3219"/>
                                <a:pt x="14624" y="921"/>
                                <a:pt x="19441" y="460"/>
                              </a:cubicBezTo>
                              <a:close/>
                            </a:path>
                          </a:pathLst>
                        </a:custGeom>
                        <a:ln w="0" cap="flat">
                          <a:miter lim="127000"/>
                        </a:ln>
                      </wps:spPr>
                      <wps:style>
                        <a:lnRef idx="0">
                          <a:srgbClr val="000000">
                            <a:alpha val="0"/>
                          </a:srgbClr>
                        </a:lnRef>
                        <a:fillRef idx="1">
                          <a:srgbClr val="6F9CD3"/>
                        </a:fillRef>
                        <a:effectRef idx="0">
                          <a:scrgbClr r="0" g="0" b="0"/>
                        </a:effectRef>
                        <a:fontRef idx="none"/>
                      </wps:style>
                      <wps:bodyPr/>
                    </wps:wsp>
                    <wps:wsp>
                      <wps:cNvPr id="34520" name="Shape 34520"/>
                      <wps:cNvSpPr/>
                      <wps:spPr>
                        <a:xfrm>
                          <a:off x="193416" y="504205"/>
                          <a:ext cx="85954" cy="74124"/>
                        </a:xfrm>
                        <a:custGeom>
                          <a:avLst/>
                          <a:gdLst/>
                          <a:ahLst/>
                          <a:cxnLst/>
                          <a:rect l="0" t="0" r="0" b="0"/>
                          <a:pathLst>
                            <a:path w="85954" h="74124">
                              <a:moveTo>
                                <a:pt x="66526" y="460"/>
                              </a:moveTo>
                              <a:cubicBezTo>
                                <a:pt x="71342" y="921"/>
                                <a:pt x="75984" y="3219"/>
                                <a:pt x="79311" y="7245"/>
                              </a:cubicBezTo>
                              <a:cubicBezTo>
                                <a:pt x="85954" y="15297"/>
                                <a:pt x="84823" y="27210"/>
                                <a:pt x="76772" y="33865"/>
                              </a:cubicBezTo>
                              <a:lnTo>
                                <a:pt x="33274" y="69793"/>
                              </a:lnTo>
                              <a:cubicBezTo>
                                <a:pt x="29756" y="72701"/>
                                <a:pt x="25489" y="74124"/>
                                <a:pt x="21247" y="74124"/>
                              </a:cubicBezTo>
                              <a:cubicBezTo>
                                <a:pt x="15799" y="74124"/>
                                <a:pt x="10401" y="71787"/>
                                <a:pt x="6655" y="67266"/>
                              </a:cubicBezTo>
                              <a:cubicBezTo>
                                <a:pt x="0" y="59201"/>
                                <a:pt x="1143" y="47288"/>
                                <a:pt x="9195" y="40634"/>
                              </a:cubicBezTo>
                              <a:lnTo>
                                <a:pt x="52692" y="4705"/>
                              </a:lnTo>
                              <a:cubicBezTo>
                                <a:pt x="56718" y="1378"/>
                                <a:pt x="61709" y="0"/>
                                <a:pt x="66526" y="460"/>
                              </a:cubicBezTo>
                              <a:close/>
                            </a:path>
                          </a:pathLst>
                        </a:custGeom>
                        <a:ln w="0" cap="flat">
                          <a:miter lim="127000"/>
                        </a:ln>
                      </wps:spPr>
                      <wps:style>
                        <a:lnRef idx="0">
                          <a:srgbClr val="000000">
                            <a:alpha val="0"/>
                          </a:srgbClr>
                        </a:lnRef>
                        <a:fillRef idx="1">
                          <a:srgbClr val="BA7BB1"/>
                        </a:fillRef>
                        <a:effectRef idx="0">
                          <a:scrgbClr r="0" g="0" b="0"/>
                        </a:effectRef>
                        <a:fontRef idx="none"/>
                      </wps:style>
                      <wps:bodyPr/>
                    </wps:wsp>
                    <wps:wsp>
                      <wps:cNvPr id="34521" name="Shape 34521"/>
                      <wps:cNvSpPr/>
                      <wps:spPr>
                        <a:xfrm>
                          <a:off x="372382" y="540314"/>
                          <a:ext cx="38202" cy="85979"/>
                        </a:xfrm>
                        <a:custGeom>
                          <a:avLst/>
                          <a:gdLst/>
                          <a:ahLst/>
                          <a:cxnLst/>
                          <a:rect l="0" t="0" r="0" b="0"/>
                          <a:pathLst>
                            <a:path w="38202" h="85979">
                              <a:moveTo>
                                <a:pt x="18860" y="0"/>
                              </a:moveTo>
                              <a:lnTo>
                                <a:pt x="18961" y="0"/>
                              </a:lnTo>
                              <a:cubicBezTo>
                                <a:pt x="29362" y="0"/>
                                <a:pt x="37821" y="8395"/>
                                <a:pt x="37871" y="18809"/>
                              </a:cubicBezTo>
                              <a:lnTo>
                                <a:pt x="38138" y="66967"/>
                              </a:lnTo>
                              <a:cubicBezTo>
                                <a:pt x="38202" y="77419"/>
                                <a:pt x="29782" y="85928"/>
                                <a:pt x="19329" y="85979"/>
                              </a:cubicBezTo>
                              <a:lnTo>
                                <a:pt x="19228" y="85979"/>
                              </a:lnTo>
                              <a:cubicBezTo>
                                <a:pt x="8839" y="85979"/>
                                <a:pt x="381" y="77584"/>
                                <a:pt x="318" y="67183"/>
                              </a:cubicBezTo>
                              <a:lnTo>
                                <a:pt x="51" y="19012"/>
                              </a:lnTo>
                              <a:cubicBezTo>
                                <a:pt x="0" y="8572"/>
                                <a:pt x="8420" y="63"/>
                                <a:pt x="18860" y="0"/>
                              </a:cubicBezTo>
                              <a:close/>
                            </a:path>
                          </a:pathLst>
                        </a:custGeom>
                        <a:ln w="0" cap="flat">
                          <a:miter lim="127000"/>
                        </a:ln>
                      </wps:spPr>
                      <wps:style>
                        <a:lnRef idx="0">
                          <a:srgbClr val="000000">
                            <a:alpha val="0"/>
                          </a:srgbClr>
                        </a:lnRef>
                        <a:fillRef idx="1">
                          <a:srgbClr val="A76CAA"/>
                        </a:fillRef>
                        <a:effectRef idx="0">
                          <a:scrgbClr r="0" g="0" b="0"/>
                        </a:effectRef>
                        <a:fontRef idx="none"/>
                      </wps:style>
                      <wps:bodyPr/>
                    </wps:wsp>
                    <wps:wsp>
                      <wps:cNvPr id="34522" name="Shape 34522"/>
                      <wps:cNvSpPr/>
                      <wps:spPr>
                        <a:xfrm>
                          <a:off x="369117" y="293409"/>
                          <a:ext cx="96266" cy="101600"/>
                        </a:xfrm>
                        <a:custGeom>
                          <a:avLst/>
                          <a:gdLst/>
                          <a:ahLst/>
                          <a:cxnLst/>
                          <a:rect l="0" t="0" r="0" b="0"/>
                          <a:pathLst>
                            <a:path w="96266" h="101600">
                              <a:moveTo>
                                <a:pt x="77356" y="0"/>
                              </a:moveTo>
                              <a:cubicBezTo>
                                <a:pt x="87795" y="0"/>
                                <a:pt x="96266" y="8471"/>
                                <a:pt x="96266" y="18910"/>
                              </a:cubicBezTo>
                              <a:cubicBezTo>
                                <a:pt x="96266" y="29350"/>
                                <a:pt x="87795" y="37821"/>
                                <a:pt x="77356" y="37821"/>
                              </a:cubicBezTo>
                              <a:cubicBezTo>
                                <a:pt x="65075" y="37821"/>
                                <a:pt x="56223" y="40932"/>
                                <a:pt x="50292" y="47333"/>
                              </a:cubicBezTo>
                              <a:cubicBezTo>
                                <a:pt x="40818" y="57556"/>
                                <a:pt x="39941" y="75235"/>
                                <a:pt x="40399" y="81178"/>
                              </a:cubicBezTo>
                              <a:cubicBezTo>
                                <a:pt x="41186" y="91542"/>
                                <a:pt x="33477" y="100673"/>
                                <a:pt x="23114" y="101537"/>
                              </a:cubicBezTo>
                              <a:cubicBezTo>
                                <a:pt x="22581" y="101575"/>
                                <a:pt x="22047" y="101600"/>
                                <a:pt x="21514" y="101600"/>
                              </a:cubicBezTo>
                              <a:cubicBezTo>
                                <a:pt x="11836" y="101600"/>
                                <a:pt x="3594" y="94259"/>
                                <a:pt x="2718" y="84442"/>
                              </a:cubicBezTo>
                              <a:cubicBezTo>
                                <a:pt x="2375" y="80607"/>
                                <a:pt x="0" y="46291"/>
                                <a:pt x="22263" y="21933"/>
                              </a:cubicBezTo>
                              <a:cubicBezTo>
                                <a:pt x="31420" y="11925"/>
                                <a:pt x="48400" y="0"/>
                                <a:pt x="77356" y="0"/>
                              </a:cubicBezTo>
                              <a:close/>
                            </a:path>
                          </a:pathLst>
                        </a:custGeom>
                        <a:ln w="0" cap="flat">
                          <a:miter lim="127000"/>
                        </a:ln>
                      </wps:spPr>
                      <wps:style>
                        <a:lnRef idx="0">
                          <a:srgbClr val="000000">
                            <a:alpha val="0"/>
                          </a:srgbClr>
                        </a:lnRef>
                        <a:fillRef idx="1">
                          <a:srgbClr val="0BB9ED"/>
                        </a:fillRef>
                        <a:effectRef idx="0">
                          <a:scrgbClr r="0" g="0" b="0"/>
                        </a:effectRef>
                        <a:fontRef idx="none"/>
                      </wps:style>
                      <wps:bodyPr/>
                    </wps:wsp>
                    <wps:wsp>
                      <wps:cNvPr id="34523" name="Shape 34523"/>
                      <wps:cNvSpPr/>
                      <wps:spPr>
                        <a:xfrm>
                          <a:off x="315949" y="293405"/>
                          <a:ext cx="96266" cy="101663"/>
                        </a:xfrm>
                        <a:custGeom>
                          <a:avLst/>
                          <a:gdLst/>
                          <a:ahLst/>
                          <a:cxnLst/>
                          <a:rect l="0" t="0" r="0" b="0"/>
                          <a:pathLst>
                            <a:path w="96266" h="101663">
                              <a:moveTo>
                                <a:pt x="18910" y="0"/>
                              </a:moveTo>
                              <a:cubicBezTo>
                                <a:pt x="47866" y="0"/>
                                <a:pt x="64846" y="11925"/>
                                <a:pt x="73990" y="21933"/>
                              </a:cubicBezTo>
                              <a:cubicBezTo>
                                <a:pt x="96266" y="46291"/>
                                <a:pt x="93904" y="80607"/>
                                <a:pt x="93548" y="84442"/>
                              </a:cubicBezTo>
                              <a:cubicBezTo>
                                <a:pt x="92672" y="94272"/>
                                <a:pt x="84417" y="101663"/>
                                <a:pt x="74740" y="101663"/>
                              </a:cubicBezTo>
                              <a:cubicBezTo>
                                <a:pt x="74181" y="101663"/>
                                <a:pt x="73609" y="101638"/>
                                <a:pt x="73038" y="101587"/>
                              </a:cubicBezTo>
                              <a:cubicBezTo>
                                <a:pt x="62662" y="100660"/>
                                <a:pt x="55004" y="91529"/>
                                <a:pt x="55880" y="81166"/>
                              </a:cubicBezTo>
                              <a:cubicBezTo>
                                <a:pt x="56337" y="75197"/>
                                <a:pt x="55436" y="57556"/>
                                <a:pt x="45974" y="47333"/>
                              </a:cubicBezTo>
                              <a:cubicBezTo>
                                <a:pt x="40043" y="40932"/>
                                <a:pt x="31191" y="37821"/>
                                <a:pt x="18910" y="37821"/>
                              </a:cubicBezTo>
                              <a:cubicBezTo>
                                <a:pt x="8471" y="37821"/>
                                <a:pt x="0" y="29350"/>
                                <a:pt x="0" y="18910"/>
                              </a:cubicBezTo>
                              <a:cubicBezTo>
                                <a:pt x="0" y="8471"/>
                                <a:pt x="8471" y="0"/>
                                <a:pt x="18910" y="0"/>
                              </a:cubicBezTo>
                              <a:close/>
                            </a:path>
                          </a:pathLst>
                        </a:custGeom>
                        <a:ln w="0" cap="flat">
                          <a:miter lim="127000"/>
                        </a:ln>
                      </wps:spPr>
                      <wps:style>
                        <a:lnRef idx="0">
                          <a:srgbClr val="000000">
                            <a:alpha val="0"/>
                          </a:srgbClr>
                        </a:lnRef>
                        <a:fillRef idx="1">
                          <a:srgbClr val="E53331"/>
                        </a:fillRef>
                        <a:effectRef idx="0">
                          <a:scrgbClr r="0" g="0" b="0"/>
                        </a:effectRef>
                        <a:fontRef idx="none"/>
                      </wps:style>
                      <wps:bodyPr/>
                    </wps:wsp>
                  </wpg:wgp>
                </a:graphicData>
              </a:graphic>
            </wp:anchor>
          </w:drawing>
        </mc:Choice>
        <mc:Fallback xmlns:a="http://schemas.openxmlformats.org/drawingml/2006/main">
          <w:pict>
            <v:group id="Group 34506" style="width:61.4709pt;height:53.9819pt;position:absolute;mso-position-horizontal-relative:page;mso-position-horizontal:absolute;margin-left:48.6348pt;mso-position-vertical-relative:page;margin-top:55.204pt;" coordsize="7806,6855">
              <v:shape id="Shape 34507" style="position:absolute;width:1258;height:1005;left:2862;top:4145;" coordsize="125832,100540" path="m18721,686c23511,0,28562,1143,32741,4274l115773,66504c124130,72765,125832,84614,119558,92970c115849,97923,110173,100540,104419,100540c100470,100540,96495,99308,93091,96768l10058,34538c1702,28277,0,16427,6274,8071c9404,3886,13932,1372,18721,686x">
                <v:stroke weight="0pt" endcap="flat" joinstyle="miter" miterlimit="10" on="false" color="#000000" opacity="0"/>
                <v:fill on="true" color="#e9506d"/>
              </v:shape>
              <v:shape id="Shape 34508" style="position:absolute;width:932;height:1594;left:2604;top:2934;" coordsize="93282,159436" path="m74371,0c84811,0,93282,8458,93282,18910c93282,29350,84811,37821,74371,37821c50584,37821,39789,58166,39649,78321c39649,78943,39611,79565,39548,80175c39459,81204,37274,108864,58763,125603c67005,132017,68478,143904,62065,152146c58331,156934,52756,159436,47130,159436c43066,159436,38976,158128,35522,155448c0,127775,1295,85014,1841,77343c2476,32487,32868,0,74371,0x">
                <v:stroke weight="0pt" endcap="flat" joinstyle="miter" miterlimit="10" on="false" color="#000000" opacity="0"/>
                <v:fill on="true" color="#d01316"/>
              </v:shape>
              <v:shape id="Shape 34509" style="position:absolute;width:826;height:681;left:3692;top:4469;" coordsize="82626,68167" path="m63913,686c68704,1372,73234,3886,76365,8071c82626,16415,80937,28277,72580,34538l32741,64395c29337,66935,25362,68167,21412,68167c15659,68167,9982,65551,6261,60598c0,52241,1702,40392,10058,34131l49898,4274c54070,1143,59122,0,63913,686x">
                <v:stroke weight="0pt" endcap="flat" joinstyle="miter" miterlimit="10" on="false" color="#000000" opacity="0"/>
                <v:fill on="true" color="#a76caa"/>
              </v:shape>
              <v:shape id="Shape 34510" style="position:absolute;width:1117;height:1918;left:4091;top:2934;" coordsize="111735,191808" path="m37363,0c78854,0,109258,32487,109893,77343c110439,84988,111735,127775,76213,155448l32741,188036c29337,190576,25362,191808,21412,191808c15659,191808,9982,189192,6261,184239c0,175882,1702,164033,10058,157759l53251,125387c74536,108814,72225,80454,72187,80175c72123,79553,72085,78943,72085,78334c71946,58166,61150,37821,37363,37821c26924,37821,18453,29350,18453,18910c18453,8458,26924,0,37363,0x">
                <v:stroke weight="0pt" endcap="flat" joinstyle="miter" miterlimit="10" on="false" color="#000000" opacity="0"/>
                <v:fill on="true" color="#047caf"/>
              </v:shape>
              <v:shape id="Shape 34511" style="position:absolute;width:4505;height:1520;left:1145;top:5335;" coordsize="450532,152019" path="m18910,0c29362,0,37821,8471,37821,18910l37821,114198l431622,114198c442062,114198,450532,122669,450532,133109c450532,143548,442062,152019,431622,152019l18910,152019c8471,152019,0,143548,0,133109l0,18910c0,8471,8471,0,18910,0x">
                <v:stroke weight="0pt" endcap="flat" joinstyle="miter" miterlimit="10" on="false" color="#000000" opacity="0"/>
                <v:fill on="true" color="#0d7fc3"/>
              </v:shape>
              <v:shape id="Shape 34512" style="position:absolute;width:2471;height:1566;left:0;top:1124;" coordsize="247104,156607" path="m230368,1246c235045,2492,239249,5521,241872,10036c247104,19079,244018,30648,234988,35881l31077,154054c28092,155781,24828,156607,21615,156607c15088,156607,8750,153229,5232,147184c0,138141,3073,126571,12116,121339l216027,3153c220542,537,225692,0,230368,1246x">
                <v:stroke weight="0pt" endcap="flat" joinstyle="miter" miterlimit="10" on="false" color="#000000" opacity="0"/>
                <v:fill on="true" color="#0d7fc3"/>
              </v:shape>
              <v:shape id="Shape 34513" style="position:absolute;width:1497;height:3401;left:26;top:2312;" coordsize="149708,340157" path="m18898,0l130797,0c141237,0,149708,8471,149708,18910l149708,321246c149708,331686,141237,340157,130797,340157c120358,340157,111887,331686,111887,321246l111887,37821l18898,37821c13678,37821,8950,35703,5528,32280l0,18941l0,18880l5528,5540c8950,2118,13678,0,18898,0x">
                <v:stroke weight="0pt" endcap="flat" joinstyle="miter" miterlimit="10" on="false" color="#000000" opacity="0"/>
                <v:fill on="true" color="#0bb9ed"/>
              </v:shape>
              <v:shape id="Shape 34514" style="position:absolute;width:5740;height:2690;left:2065;top:0;" coordsize="574091,269039" path="m18884,0l106490,0l119834,5530c123257,8952,125374,13680,125374,18900l125374,46916l174828,20449c180581,17363,187541,17477,193205,20754l561950,233745c570992,238965,574091,250535,568858,259577c565353,265648,559003,269039,552475,269039c549262,269039,545998,268213,543027,266499l183388,58752l115392,95150c109538,98287,102451,98122,96749,94706c91046,91290,87554,85130,87554,78475l87554,37810l37821,37810l37821,131942c37821,142382,29362,150853,18910,150853c8471,150853,0,142382,0,131942l0,18900c0,13680,2118,8952,5540,5530l18884,0x">
                <v:stroke weight="0pt" endcap="flat" joinstyle="miter" miterlimit="10" on="false" color="#000000" opacity="0"/>
                <v:fill on="true" color="#0bb9ed"/>
              </v:shape>
              <v:shape id="Shape 34515" style="position:absolute;width:2506;height:4543;left:5272;top:2312;" coordsize="250698,454355" path="m112103,0l231788,0c242227,0,250698,8458,250698,18910c250698,29350,242227,37821,231788,37821l131013,37821l131013,435445c131013,445884,122542,454355,112103,454355l18910,454355c8458,454355,0,445884,0,435445c0,425006,8458,416535,18910,416535l93193,416535l93193,18910c93193,8458,101663,0,112103,0x">
                <v:stroke weight="0pt" endcap="flat" joinstyle="miter" miterlimit="10" on="false" color="#000000" opacity="0"/>
                <v:fill on="true" color="#169bd8"/>
              </v:shape>
              <v:shape id="Shape 34516" style="position:absolute;width:859;height:741;left:1934;top:2063;" coordsize="85941,74117" path="m19433,459c24251,0,29242,1378,33261,4699l76759,40627c84811,47282,85941,59195,79299,67246c75552,71780,70155,74117,64707,74117c60465,74117,56198,72695,52680,69786l9182,33858c1130,27216,0,15291,6642,7239c9970,3213,14615,918,19433,459x">
                <v:stroke weight="0pt" endcap="flat" joinstyle="miter" miterlimit="10" on="false" color="#000000" opacity="0"/>
                <v:fill on="true" color="#6f9cd3"/>
              </v:shape>
              <v:shape id="Shape 34517" style="position:absolute;width:859;height:741;left:5022;top:2063;" coordsize="85954,74117" path="m66513,459c71329,918,75971,3213,79299,7239c85954,15291,84823,27216,76771,33858l33274,69786c29743,72695,25476,74117,21234,74117c15799,74117,10389,71780,6655,67246c0,59195,1130,47282,9182,40627l52680,4699c56705,1378,61697,0,66513,459x">
                <v:stroke weight="0pt" endcap="flat" joinstyle="miter" miterlimit="10" on="false" color="#000000" opacity="0"/>
                <v:fill on="true" color="#a76caa"/>
              </v:shape>
              <v:shape id="Shape 34518" style="position:absolute;width:381;height:859;left:3710;top:1587;" coordsize="38189,85979" path="m18860,0l18961,0c29362,0,37821,8395,37871,18809l38138,66967c38189,77406,29782,85915,19329,85979l19228,85979c8839,85979,381,77584,318,67170l51,19012c0,8572,8420,51,18860,0x">
                <v:stroke weight="0pt" endcap="flat" joinstyle="miter" miterlimit="10" on="false" color="#000000" opacity="0"/>
                <v:fill on="true" color="#ba7bb1"/>
              </v:shape>
              <v:shape id="Shape 34519" style="position:absolute;width:859;height:741;left:5022;top:5042;" coordsize="85954,74124" path="m19441,460c24257,0,29248,1378,33274,4705l76771,40634c84823,47288,85954,59201,79312,67266c75565,71787,70155,74124,64719,74124c60477,74124,56210,72701,52680,69793l9195,33865c1143,27210,0,15297,6655,7245c9982,3219,14624,921,19441,460x">
                <v:stroke weight="0pt" endcap="flat" joinstyle="miter" miterlimit="10" on="false" color="#000000" opacity="0"/>
                <v:fill on="true" color="#6f9cd3"/>
              </v:shape>
              <v:shape id="Shape 34520" style="position:absolute;width:859;height:741;left:1934;top:5042;" coordsize="85954,74124" path="m66526,460c71342,921,75984,3219,79311,7245c85954,15297,84823,27210,76772,33865l33274,69793c29756,72701,25489,74124,21247,74124c15799,74124,10401,71787,6655,67266c0,59201,1143,47288,9195,40634l52692,4705c56718,1378,61709,0,66526,460x">
                <v:stroke weight="0pt" endcap="flat" joinstyle="miter" miterlimit="10" on="false" color="#000000" opacity="0"/>
                <v:fill on="true" color="#ba7bb1"/>
              </v:shape>
              <v:shape id="Shape 34521" style="position:absolute;width:382;height:859;left:3723;top:5403;" coordsize="38202,85979" path="m18860,0l18961,0c29362,0,37821,8395,37871,18809l38138,66967c38202,77419,29782,85928,19329,85979l19228,85979c8839,85979,381,77584,318,67183l51,19012c0,8572,8420,63,18860,0x">
                <v:stroke weight="0pt" endcap="flat" joinstyle="miter" miterlimit="10" on="false" color="#000000" opacity="0"/>
                <v:fill on="true" color="#a76caa"/>
              </v:shape>
              <v:shape id="Shape 34522" style="position:absolute;width:962;height:1016;left:3691;top:2934;" coordsize="96266,101600" path="m77356,0c87795,0,96266,8471,96266,18910c96266,29350,87795,37821,77356,37821c65075,37821,56223,40932,50292,47333c40818,57556,39941,75235,40399,81178c41186,91542,33477,100673,23114,101537c22581,101575,22047,101600,21514,101600c11836,101600,3594,94259,2718,84442c2375,80607,0,46291,22263,21933c31420,11925,48400,0,77356,0x">
                <v:stroke weight="0pt" endcap="flat" joinstyle="miter" miterlimit="10" on="false" color="#000000" opacity="0"/>
                <v:fill on="true" color="#0bb9ed"/>
              </v:shape>
              <v:shape id="Shape 34523" style="position:absolute;width:962;height:1016;left:3159;top:2934;" coordsize="96266,101663" path="m18910,0c47866,0,64846,11925,73990,21933c96266,46291,93904,80607,93548,84442c92672,94272,84417,101663,74740,101663c74181,101663,73609,101638,73038,101587c62662,100660,55004,91529,55880,81166c56337,75197,55436,57556,45974,47333c40043,40932,31191,37821,18910,37821c8471,37821,0,29350,0,18910c0,8471,8471,0,18910,0x">
                <v:stroke weight="0pt" endcap="flat" joinstyle="miter" miterlimit="10" on="false" color="#000000" opacity="0"/>
                <v:fill on="true" color="#e53331"/>
              </v:shape>
              <w10:wrap type="square"/>
            </v:group>
          </w:pict>
        </mc:Fallback>
      </mc:AlternateContent>
    </w:r>
    <w:r>
      <w:rPr>
        <w:color w:val="007BCA"/>
        <w:sz w:val="53"/>
      </w:rPr>
      <w:tab/>
      <w:t>Geweld hoort nergens thuis</w:t>
    </w:r>
  </w:p>
  <w:p w:rsidR="009926B0" w:rsidRDefault="009926B0">
    <w:pPr>
      <w:spacing w:after="682"/>
      <w:ind w:left="9"/>
    </w:pPr>
    <w:r>
      <w:rPr>
        <w:color w:val="1C1C1B"/>
        <w:sz w:val="23"/>
      </w:rPr>
      <w:t>Aanpak huiselijk geweld en kindermishandeling</w:t>
    </w:r>
  </w:p>
  <w:p w:rsidR="009926B0" w:rsidRDefault="009926B0">
    <w:pPr>
      <w:spacing w:after="0"/>
    </w:pPr>
    <w:r>
      <w:rPr>
        <w:b/>
        <w:color w:val="E06F00"/>
        <w:sz w:val="42"/>
        <w:u w:val="single" w:color="E06F00"/>
      </w:rPr>
      <w:t xml:space="preserve">BIJLAGE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CE0" w:rsidRDefault="009926B0" w:rsidP="00FF1CE0">
    <w:pPr>
      <w:tabs>
        <w:tab w:val="center" w:pos="4350"/>
      </w:tabs>
      <w:spacing w:after="0"/>
      <w:ind w:firstLine="1418"/>
    </w:pPr>
    <w:r>
      <w:rPr>
        <w:color w:val="007BCA"/>
        <w:sz w:val="53"/>
      </w:rPr>
      <w:tab/>
    </w:r>
    <w:r w:rsidR="00FF1CE0">
      <w:rPr>
        <w:noProof/>
      </w:rPr>
      <w:drawing>
        <wp:anchor distT="0" distB="0" distL="114300" distR="114300" simplePos="0" relativeHeight="251673600" behindDoc="1" locked="0" layoutInCell="1" allowOverlap="1" wp14:anchorId="4E242074" wp14:editId="5AFDE02D">
          <wp:simplePos x="0" y="0"/>
          <wp:positionH relativeFrom="column">
            <wp:posOffset>-63500</wp:posOffset>
          </wp:positionH>
          <wp:positionV relativeFrom="paragraph">
            <wp:posOffset>-182408</wp:posOffset>
          </wp:positionV>
          <wp:extent cx="865848" cy="865848"/>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gramma icoon GHNT web.png"/>
                  <pic:cNvPicPr/>
                </pic:nvPicPr>
                <pic:blipFill>
                  <a:blip r:embed="rId1">
                    <a:extLst>
                      <a:ext uri="{28A0092B-C50C-407E-A947-70E740481C1C}">
                        <a14:useLocalDpi xmlns:a14="http://schemas.microsoft.com/office/drawing/2010/main" val="0"/>
                      </a:ext>
                    </a:extLst>
                  </a:blip>
                  <a:stretch>
                    <a:fillRect/>
                  </a:stretch>
                </pic:blipFill>
                <pic:spPr>
                  <a:xfrm>
                    <a:off x="0" y="0"/>
                    <a:ext cx="865848" cy="865848"/>
                  </a:xfrm>
                  <a:prstGeom prst="rect">
                    <a:avLst/>
                  </a:prstGeom>
                </pic:spPr>
              </pic:pic>
            </a:graphicData>
          </a:graphic>
          <wp14:sizeRelH relativeFrom="page">
            <wp14:pctWidth>0</wp14:pctWidth>
          </wp14:sizeRelH>
          <wp14:sizeRelV relativeFrom="page">
            <wp14:pctHeight>0</wp14:pctHeight>
          </wp14:sizeRelV>
        </wp:anchor>
      </w:drawing>
    </w:r>
    <w:r w:rsidR="00FF1CE0">
      <w:rPr>
        <w:color w:val="007BCA"/>
        <w:sz w:val="53"/>
      </w:rPr>
      <w:t>Geweld hoort nergens thuis</w:t>
    </w:r>
  </w:p>
  <w:p w:rsidR="00FF1CE0" w:rsidRDefault="00FF1CE0" w:rsidP="00FF1CE0">
    <w:pPr>
      <w:spacing w:after="400"/>
      <w:ind w:left="731" w:firstLine="692"/>
    </w:pPr>
    <w:r>
      <w:rPr>
        <w:color w:val="1C1C1B"/>
        <w:sz w:val="23"/>
      </w:rPr>
      <w:t>Aanpak huiselijk geweld en kindermishandeling</w:t>
    </w:r>
  </w:p>
  <w:p w:rsidR="009926B0" w:rsidRDefault="00FF1CE0" w:rsidP="00FF1CE0">
    <w:pPr>
      <w:spacing w:after="0"/>
    </w:pPr>
    <w:r>
      <w:rPr>
        <w:b/>
        <w:color w:val="E06F00"/>
        <w:sz w:val="42"/>
        <w:u w:val="single" w:color="E06F00"/>
      </w:rPr>
      <w:t xml:space="preserve">BIJLAGE 5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992" w:tblpY="935"/>
      <w:tblOverlap w:val="never"/>
      <w:tblW w:w="3118" w:type="dxa"/>
      <w:tblInd w:w="0" w:type="dxa"/>
      <w:tblCellMar>
        <w:left w:w="115" w:type="dxa"/>
        <w:right w:w="115" w:type="dxa"/>
      </w:tblCellMar>
      <w:tblLook w:val="04A0" w:firstRow="1" w:lastRow="0" w:firstColumn="1" w:lastColumn="0" w:noHBand="0" w:noVBand="1"/>
    </w:tblPr>
    <w:tblGrid>
      <w:gridCol w:w="3118"/>
    </w:tblGrid>
    <w:tr w:rsidR="009926B0">
      <w:trPr>
        <w:trHeight w:val="832"/>
      </w:trPr>
      <w:tc>
        <w:tcPr>
          <w:tcW w:w="3118" w:type="dxa"/>
          <w:tcBorders>
            <w:top w:val="single" w:sz="8" w:space="0" w:color="DADAD9"/>
            <w:left w:val="single" w:sz="8" w:space="0" w:color="DADAD9"/>
            <w:bottom w:val="single" w:sz="8" w:space="0" w:color="DADAD9"/>
            <w:right w:val="single" w:sz="8" w:space="0" w:color="DADAD9"/>
          </w:tcBorders>
          <w:vAlign w:val="center"/>
        </w:tcPr>
        <w:p w:rsidR="009926B0" w:rsidRDefault="009926B0">
          <w:pPr>
            <w:spacing w:after="0"/>
            <w:jc w:val="center"/>
          </w:pPr>
          <w:r>
            <w:rPr>
              <w:b/>
              <w:i/>
              <w:color w:val="DADAD9"/>
              <w:sz w:val="26"/>
            </w:rPr>
            <w:t>Logo gemeente/regio</w:t>
          </w:r>
        </w:p>
      </w:tc>
    </w:tr>
  </w:tbl>
  <w:p w:rsidR="009926B0" w:rsidRDefault="009926B0">
    <w:pPr>
      <w:spacing w:after="0"/>
      <w:ind w:left="-964" w:right="674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992" w:tblpY="935"/>
      <w:tblOverlap w:val="never"/>
      <w:tblW w:w="3118" w:type="dxa"/>
      <w:tblInd w:w="0" w:type="dxa"/>
      <w:tblCellMar>
        <w:left w:w="115" w:type="dxa"/>
        <w:right w:w="115" w:type="dxa"/>
      </w:tblCellMar>
      <w:tblLook w:val="04A0" w:firstRow="1" w:lastRow="0" w:firstColumn="1" w:lastColumn="0" w:noHBand="0" w:noVBand="1"/>
    </w:tblPr>
    <w:tblGrid>
      <w:gridCol w:w="3118"/>
    </w:tblGrid>
    <w:tr w:rsidR="009926B0">
      <w:trPr>
        <w:trHeight w:val="832"/>
      </w:trPr>
      <w:tc>
        <w:tcPr>
          <w:tcW w:w="3118" w:type="dxa"/>
          <w:tcBorders>
            <w:top w:val="single" w:sz="8" w:space="0" w:color="DADAD9"/>
            <w:left w:val="single" w:sz="8" w:space="0" w:color="DADAD9"/>
            <w:bottom w:val="single" w:sz="8" w:space="0" w:color="DADAD9"/>
            <w:right w:val="single" w:sz="8" w:space="0" w:color="DADAD9"/>
          </w:tcBorders>
          <w:vAlign w:val="center"/>
        </w:tcPr>
        <w:p w:rsidR="009926B0" w:rsidRDefault="009926B0">
          <w:pPr>
            <w:spacing w:after="0"/>
            <w:jc w:val="center"/>
          </w:pPr>
          <w:r>
            <w:rPr>
              <w:b/>
              <w:i/>
              <w:color w:val="DADAD9"/>
              <w:sz w:val="26"/>
            </w:rPr>
            <w:t>Logo gemeente/regio</w:t>
          </w:r>
        </w:p>
      </w:tc>
    </w:tr>
  </w:tbl>
  <w:p w:rsidR="009926B0" w:rsidRDefault="009926B0">
    <w:pPr>
      <w:spacing w:after="0"/>
      <w:ind w:left="-964" w:right="674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992" w:tblpY="935"/>
      <w:tblOverlap w:val="never"/>
      <w:tblW w:w="3118" w:type="dxa"/>
      <w:tblInd w:w="0" w:type="dxa"/>
      <w:tblCellMar>
        <w:left w:w="115" w:type="dxa"/>
        <w:right w:w="115" w:type="dxa"/>
      </w:tblCellMar>
      <w:tblLook w:val="04A0" w:firstRow="1" w:lastRow="0" w:firstColumn="1" w:lastColumn="0" w:noHBand="0" w:noVBand="1"/>
    </w:tblPr>
    <w:tblGrid>
      <w:gridCol w:w="3118"/>
    </w:tblGrid>
    <w:tr w:rsidR="009926B0">
      <w:trPr>
        <w:trHeight w:val="832"/>
      </w:trPr>
      <w:tc>
        <w:tcPr>
          <w:tcW w:w="3118" w:type="dxa"/>
          <w:tcBorders>
            <w:top w:val="single" w:sz="8" w:space="0" w:color="DADAD9"/>
            <w:left w:val="single" w:sz="8" w:space="0" w:color="DADAD9"/>
            <w:bottom w:val="single" w:sz="8" w:space="0" w:color="DADAD9"/>
            <w:right w:val="single" w:sz="8" w:space="0" w:color="DADAD9"/>
          </w:tcBorders>
          <w:vAlign w:val="center"/>
        </w:tcPr>
        <w:p w:rsidR="009926B0" w:rsidRDefault="009926B0">
          <w:pPr>
            <w:spacing w:after="0"/>
            <w:jc w:val="center"/>
          </w:pPr>
          <w:r>
            <w:rPr>
              <w:b/>
              <w:i/>
              <w:color w:val="DADAD9"/>
              <w:sz w:val="26"/>
            </w:rPr>
            <w:t>Logo gemeente/regio</w:t>
          </w:r>
        </w:p>
      </w:tc>
    </w:tr>
  </w:tbl>
  <w:p w:rsidR="009926B0" w:rsidRDefault="009926B0">
    <w:pPr>
      <w:spacing w:after="0"/>
      <w:ind w:left="-964" w:right="67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D3A"/>
    <w:multiLevelType w:val="hybridMultilevel"/>
    <w:tmpl w:val="DBAE23B0"/>
    <w:lvl w:ilvl="0" w:tplc="8530EE06">
      <w:start w:val="1"/>
      <w:numFmt w:val="bullet"/>
      <w:lvlText w:val="•"/>
      <w:lvlJc w:val="left"/>
      <w:pPr>
        <w:ind w:left="1296"/>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1" w:tplc="D9B821A8">
      <w:start w:val="1"/>
      <w:numFmt w:val="bullet"/>
      <w:lvlText w:val="o"/>
      <w:lvlJc w:val="left"/>
      <w:pPr>
        <w:ind w:left="2214"/>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2" w:tplc="6B900D38">
      <w:start w:val="1"/>
      <w:numFmt w:val="bullet"/>
      <w:lvlText w:val="▪"/>
      <w:lvlJc w:val="left"/>
      <w:pPr>
        <w:ind w:left="2934"/>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3" w:tplc="6596C0AE">
      <w:start w:val="1"/>
      <w:numFmt w:val="bullet"/>
      <w:lvlText w:val="•"/>
      <w:lvlJc w:val="left"/>
      <w:pPr>
        <w:ind w:left="3654"/>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4" w:tplc="79845C84">
      <w:start w:val="1"/>
      <w:numFmt w:val="bullet"/>
      <w:lvlText w:val="o"/>
      <w:lvlJc w:val="left"/>
      <w:pPr>
        <w:ind w:left="4374"/>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5" w:tplc="B6705AD6">
      <w:start w:val="1"/>
      <w:numFmt w:val="bullet"/>
      <w:lvlText w:val="▪"/>
      <w:lvlJc w:val="left"/>
      <w:pPr>
        <w:ind w:left="5094"/>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6" w:tplc="195C5B68">
      <w:start w:val="1"/>
      <w:numFmt w:val="bullet"/>
      <w:lvlText w:val="•"/>
      <w:lvlJc w:val="left"/>
      <w:pPr>
        <w:ind w:left="5814"/>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7" w:tplc="42B0D8B2">
      <w:start w:val="1"/>
      <w:numFmt w:val="bullet"/>
      <w:lvlText w:val="o"/>
      <w:lvlJc w:val="left"/>
      <w:pPr>
        <w:ind w:left="6534"/>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8" w:tplc="C85AE248">
      <w:start w:val="1"/>
      <w:numFmt w:val="bullet"/>
      <w:lvlText w:val="▪"/>
      <w:lvlJc w:val="left"/>
      <w:pPr>
        <w:ind w:left="7254"/>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abstractNum>
  <w:abstractNum w:abstractNumId="1" w15:restartNumberingAfterBreak="0">
    <w:nsid w:val="0271613A"/>
    <w:multiLevelType w:val="hybridMultilevel"/>
    <w:tmpl w:val="7C60015C"/>
    <w:lvl w:ilvl="0" w:tplc="8ACAEE38">
      <w:start w:val="1"/>
      <w:numFmt w:val="decimal"/>
      <w:lvlText w:val="%1"/>
      <w:lvlJc w:val="left"/>
      <w:pPr>
        <w:ind w:left="3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1" w:tplc="59823C4A">
      <w:start w:val="1"/>
      <w:numFmt w:val="lowerLetter"/>
      <w:lvlText w:val="%2"/>
      <w:lvlJc w:val="left"/>
      <w:pPr>
        <w:ind w:left="10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2" w:tplc="66F4F422">
      <w:start w:val="1"/>
      <w:numFmt w:val="lowerRoman"/>
      <w:lvlText w:val="%3"/>
      <w:lvlJc w:val="left"/>
      <w:pPr>
        <w:ind w:left="18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3" w:tplc="46B85704">
      <w:start w:val="1"/>
      <w:numFmt w:val="decimal"/>
      <w:lvlText w:val="%4"/>
      <w:lvlJc w:val="left"/>
      <w:pPr>
        <w:ind w:left="25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4" w:tplc="9ECA1942">
      <w:start w:val="1"/>
      <w:numFmt w:val="lowerLetter"/>
      <w:lvlText w:val="%5"/>
      <w:lvlJc w:val="left"/>
      <w:pPr>
        <w:ind w:left="32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5" w:tplc="53C8AE7C">
      <w:start w:val="1"/>
      <w:numFmt w:val="lowerRoman"/>
      <w:lvlText w:val="%6"/>
      <w:lvlJc w:val="left"/>
      <w:pPr>
        <w:ind w:left="396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6" w:tplc="3BE675D4">
      <w:start w:val="1"/>
      <w:numFmt w:val="decimal"/>
      <w:lvlText w:val="%7"/>
      <w:lvlJc w:val="left"/>
      <w:pPr>
        <w:ind w:left="46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7" w:tplc="B56C9E40">
      <w:start w:val="1"/>
      <w:numFmt w:val="lowerLetter"/>
      <w:lvlText w:val="%8"/>
      <w:lvlJc w:val="left"/>
      <w:pPr>
        <w:ind w:left="54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8" w:tplc="88DCDA14">
      <w:start w:val="1"/>
      <w:numFmt w:val="lowerRoman"/>
      <w:lvlText w:val="%9"/>
      <w:lvlJc w:val="left"/>
      <w:pPr>
        <w:ind w:left="61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abstractNum>
  <w:abstractNum w:abstractNumId="2" w15:restartNumberingAfterBreak="0">
    <w:nsid w:val="0C05577D"/>
    <w:multiLevelType w:val="hybridMultilevel"/>
    <w:tmpl w:val="5DC25982"/>
    <w:lvl w:ilvl="0" w:tplc="601C9364">
      <w:start w:val="1"/>
      <w:numFmt w:val="bullet"/>
      <w:lvlText w:val="•"/>
      <w:lvlJc w:val="left"/>
      <w:pPr>
        <w:ind w:left="1303"/>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1" w:tplc="0F2C85AE">
      <w:start w:val="1"/>
      <w:numFmt w:val="bullet"/>
      <w:lvlText w:val="o"/>
      <w:lvlJc w:val="left"/>
      <w:pPr>
        <w:ind w:left="108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2" w:tplc="EE420BA2">
      <w:start w:val="1"/>
      <w:numFmt w:val="bullet"/>
      <w:lvlText w:val="▪"/>
      <w:lvlJc w:val="left"/>
      <w:pPr>
        <w:ind w:left="180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3" w:tplc="902ED780">
      <w:start w:val="1"/>
      <w:numFmt w:val="bullet"/>
      <w:lvlText w:val="•"/>
      <w:lvlJc w:val="left"/>
      <w:pPr>
        <w:ind w:left="252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4" w:tplc="F7BA42E0">
      <w:start w:val="1"/>
      <w:numFmt w:val="bullet"/>
      <w:lvlText w:val="o"/>
      <w:lvlJc w:val="left"/>
      <w:pPr>
        <w:ind w:left="324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5" w:tplc="05C25164">
      <w:start w:val="1"/>
      <w:numFmt w:val="bullet"/>
      <w:lvlText w:val="▪"/>
      <w:lvlJc w:val="left"/>
      <w:pPr>
        <w:ind w:left="396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6" w:tplc="E51A925A">
      <w:start w:val="1"/>
      <w:numFmt w:val="bullet"/>
      <w:lvlText w:val="•"/>
      <w:lvlJc w:val="left"/>
      <w:pPr>
        <w:ind w:left="468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7" w:tplc="19540902">
      <w:start w:val="1"/>
      <w:numFmt w:val="bullet"/>
      <w:lvlText w:val="o"/>
      <w:lvlJc w:val="left"/>
      <w:pPr>
        <w:ind w:left="540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8" w:tplc="DDEE9E56">
      <w:start w:val="1"/>
      <w:numFmt w:val="bullet"/>
      <w:lvlText w:val="▪"/>
      <w:lvlJc w:val="left"/>
      <w:pPr>
        <w:ind w:left="612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abstractNum>
  <w:abstractNum w:abstractNumId="3" w15:restartNumberingAfterBreak="0">
    <w:nsid w:val="1367174E"/>
    <w:multiLevelType w:val="hybridMultilevel"/>
    <w:tmpl w:val="816C80B0"/>
    <w:lvl w:ilvl="0" w:tplc="74382DBA">
      <w:start w:val="1"/>
      <w:numFmt w:val="decimal"/>
      <w:lvlText w:val="%1"/>
      <w:lvlJc w:val="left"/>
      <w:pPr>
        <w:ind w:left="3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1" w:tplc="93F2599C">
      <w:start w:val="1"/>
      <w:numFmt w:val="lowerLetter"/>
      <w:lvlText w:val="%2"/>
      <w:lvlJc w:val="left"/>
      <w:pPr>
        <w:ind w:left="10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2" w:tplc="460476A2">
      <w:start w:val="1"/>
      <w:numFmt w:val="lowerRoman"/>
      <w:lvlText w:val="%3"/>
      <w:lvlJc w:val="left"/>
      <w:pPr>
        <w:ind w:left="18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3" w:tplc="AFDE5714">
      <w:start w:val="1"/>
      <w:numFmt w:val="decimal"/>
      <w:lvlText w:val="%4"/>
      <w:lvlJc w:val="left"/>
      <w:pPr>
        <w:ind w:left="25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4" w:tplc="FFF0417E">
      <w:start w:val="1"/>
      <w:numFmt w:val="lowerLetter"/>
      <w:lvlText w:val="%5"/>
      <w:lvlJc w:val="left"/>
      <w:pPr>
        <w:ind w:left="32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5" w:tplc="ECEE13D4">
      <w:start w:val="1"/>
      <w:numFmt w:val="lowerRoman"/>
      <w:lvlText w:val="%6"/>
      <w:lvlJc w:val="left"/>
      <w:pPr>
        <w:ind w:left="396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6" w:tplc="28326BA2">
      <w:start w:val="1"/>
      <w:numFmt w:val="decimal"/>
      <w:lvlText w:val="%7"/>
      <w:lvlJc w:val="left"/>
      <w:pPr>
        <w:ind w:left="46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7" w:tplc="9EA25830">
      <w:start w:val="1"/>
      <w:numFmt w:val="lowerLetter"/>
      <w:lvlText w:val="%8"/>
      <w:lvlJc w:val="left"/>
      <w:pPr>
        <w:ind w:left="54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8" w:tplc="A12C82C0">
      <w:start w:val="1"/>
      <w:numFmt w:val="lowerRoman"/>
      <w:lvlText w:val="%9"/>
      <w:lvlJc w:val="left"/>
      <w:pPr>
        <w:ind w:left="61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abstractNum>
  <w:abstractNum w:abstractNumId="4" w15:restartNumberingAfterBreak="0">
    <w:nsid w:val="15E062AA"/>
    <w:multiLevelType w:val="hybridMultilevel"/>
    <w:tmpl w:val="A96ACDDC"/>
    <w:lvl w:ilvl="0" w:tplc="29840016">
      <w:start w:val="1"/>
      <w:numFmt w:val="bullet"/>
      <w:lvlText w:val="•"/>
      <w:lvlJc w:val="left"/>
      <w:pPr>
        <w:ind w:left="1303"/>
      </w:pPr>
      <w:rPr>
        <w:rFonts w:ascii="Calibri" w:eastAsia="Calibri" w:hAnsi="Calibri" w:cs="Calibri"/>
        <w:b w:val="0"/>
        <w:i w:val="0"/>
        <w:strike w:val="0"/>
        <w:dstrike w:val="0"/>
        <w:color w:val="007BCA"/>
        <w:sz w:val="20"/>
        <w:szCs w:val="20"/>
        <w:u w:val="none" w:color="000000"/>
        <w:bdr w:val="none" w:sz="0" w:space="0" w:color="auto"/>
        <w:shd w:val="clear" w:color="auto" w:fill="auto"/>
        <w:vertAlign w:val="baseline"/>
      </w:rPr>
    </w:lvl>
    <w:lvl w:ilvl="1" w:tplc="C7E64E7E">
      <w:start w:val="1"/>
      <w:numFmt w:val="bullet"/>
      <w:lvlText w:val="o"/>
      <w:lvlJc w:val="left"/>
      <w:pPr>
        <w:ind w:left="1080"/>
      </w:pPr>
      <w:rPr>
        <w:rFonts w:ascii="Calibri" w:eastAsia="Calibri" w:hAnsi="Calibri" w:cs="Calibri"/>
        <w:b w:val="0"/>
        <w:i w:val="0"/>
        <w:strike w:val="0"/>
        <w:dstrike w:val="0"/>
        <w:color w:val="007BCA"/>
        <w:sz w:val="20"/>
        <w:szCs w:val="20"/>
        <w:u w:val="none" w:color="000000"/>
        <w:bdr w:val="none" w:sz="0" w:space="0" w:color="auto"/>
        <w:shd w:val="clear" w:color="auto" w:fill="auto"/>
        <w:vertAlign w:val="baseline"/>
      </w:rPr>
    </w:lvl>
    <w:lvl w:ilvl="2" w:tplc="B3F8C38A">
      <w:start w:val="1"/>
      <w:numFmt w:val="bullet"/>
      <w:lvlText w:val="▪"/>
      <w:lvlJc w:val="left"/>
      <w:pPr>
        <w:ind w:left="1800"/>
      </w:pPr>
      <w:rPr>
        <w:rFonts w:ascii="Calibri" w:eastAsia="Calibri" w:hAnsi="Calibri" w:cs="Calibri"/>
        <w:b w:val="0"/>
        <w:i w:val="0"/>
        <w:strike w:val="0"/>
        <w:dstrike w:val="0"/>
        <w:color w:val="007BCA"/>
        <w:sz w:val="20"/>
        <w:szCs w:val="20"/>
        <w:u w:val="none" w:color="000000"/>
        <w:bdr w:val="none" w:sz="0" w:space="0" w:color="auto"/>
        <w:shd w:val="clear" w:color="auto" w:fill="auto"/>
        <w:vertAlign w:val="baseline"/>
      </w:rPr>
    </w:lvl>
    <w:lvl w:ilvl="3" w:tplc="00B44EFA">
      <w:start w:val="1"/>
      <w:numFmt w:val="bullet"/>
      <w:lvlText w:val="•"/>
      <w:lvlJc w:val="left"/>
      <w:pPr>
        <w:ind w:left="2520"/>
      </w:pPr>
      <w:rPr>
        <w:rFonts w:ascii="Calibri" w:eastAsia="Calibri" w:hAnsi="Calibri" w:cs="Calibri"/>
        <w:b w:val="0"/>
        <w:i w:val="0"/>
        <w:strike w:val="0"/>
        <w:dstrike w:val="0"/>
        <w:color w:val="007BCA"/>
        <w:sz w:val="20"/>
        <w:szCs w:val="20"/>
        <w:u w:val="none" w:color="000000"/>
        <w:bdr w:val="none" w:sz="0" w:space="0" w:color="auto"/>
        <w:shd w:val="clear" w:color="auto" w:fill="auto"/>
        <w:vertAlign w:val="baseline"/>
      </w:rPr>
    </w:lvl>
    <w:lvl w:ilvl="4" w:tplc="57A03096">
      <w:start w:val="1"/>
      <w:numFmt w:val="bullet"/>
      <w:lvlText w:val="o"/>
      <w:lvlJc w:val="left"/>
      <w:pPr>
        <w:ind w:left="3240"/>
      </w:pPr>
      <w:rPr>
        <w:rFonts w:ascii="Calibri" w:eastAsia="Calibri" w:hAnsi="Calibri" w:cs="Calibri"/>
        <w:b w:val="0"/>
        <w:i w:val="0"/>
        <w:strike w:val="0"/>
        <w:dstrike w:val="0"/>
        <w:color w:val="007BCA"/>
        <w:sz w:val="20"/>
        <w:szCs w:val="20"/>
        <w:u w:val="none" w:color="000000"/>
        <w:bdr w:val="none" w:sz="0" w:space="0" w:color="auto"/>
        <w:shd w:val="clear" w:color="auto" w:fill="auto"/>
        <w:vertAlign w:val="baseline"/>
      </w:rPr>
    </w:lvl>
    <w:lvl w:ilvl="5" w:tplc="5248F4F8">
      <w:start w:val="1"/>
      <w:numFmt w:val="bullet"/>
      <w:lvlText w:val="▪"/>
      <w:lvlJc w:val="left"/>
      <w:pPr>
        <w:ind w:left="3960"/>
      </w:pPr>
      <w:rPr>
        <w:rFonts w:ascii="Calibri" w:eastAsia="Calibri" w:hAnsi="Calibri" w:cs="Calibri"/>
        <w:b w:val="0"/>
        <w:i w:val="0"/>
        <w:strike w:val="0"/>
        <w:dstrike w:val="0"/>
        <w:color w:val="007BCA"/>
        <w:sz w:val="20"/>
        <w:szCs w:val="20"/>
        <w:u w:val="none" w:color="000000"/>
        <w:bdr w:val="none" w:sz="0" w:space="0" w:color="auto"/>
        <w:shd w:val="clear" w:color="auto" w:fill="auto"/>
        <w:vertAlign w:val="baseline"/>
      </w:rPr>
    </w:lvl>
    <w:lvl w:ilvl="6" w:tplc="7CC62842">
      <w:start w:val="1"/>
      <w:numFmt w:val="bullet"/>
      <w:lvlText w:val="•"/>
      <w:lvlJc w:val="left"/>
      <w:pPr>
        <w:ind w:left="4680"/>
      </w:pPr>
      <w:rPr>
        <w:rFonts w:ascii="Calibri" w:eastAsia="Calibri" w:hAnsi="Calibri" w:cs="Calibri"/>
        <w:b w:val="0"/>
        <w:i w:val="0"/>
        <w:strike w:val="0"/>
        <w:dstrike w:val="0"/>
        <w:color w:val="007BCA"/>
        <w:sz w:val="20"/>
        <w:szCs w:val="20"/>
        <w:u w:val="none" w:color="000000"/>
        <w:bdr w:val="none" w:sz="0" w:space="0" w:color="auto"/>
        <w:shd w:val="clear" w:color="auto" w:fill="auto"/>
        <w:vertAlign w:val="baseline"/>
      </w:rPr>
    </w:lvl>
    <w:lvl w:ilvl="7" w:tplc="B8725E52">
      <w:start w:val="1"/>
      <w:numFmt w:val="bullet"/>
      <w:lvlText w:val="o"/>
      <w:lvlJc w:val="left"/>
      <w:pPr>
        <w:ind w:left="5400"/>
      </w:pPr>
      <w:rPr>
        <w:rFonts w:ascii="Calibri" w:eastAsia="Calibri" w:hAnsi="Calibri" w:cs="Calibri"/>
        <w:b w:val="0"/>
        <w:i w:val="0"/>
        <w:strike w:val="0"/>
        <w:dstrike w:val="0"/>
        <w:color w:val="007BCA"/>
        <w:sz w:val="20"/>
        <w:szCs w:val="20"/>
        <w:u w:val="none" w:color="000000"/>
        <w:bdr w:val="none" w:sz="0" w:space="0" w:color="auto"/>
        <w:shd w:val="clear" w:color="auto" w:fill="auto"/>
        <w:vertAlign w:val="baseline"/>
      </w:rPr>
    </w:lvl>
    <w:lvl w:ilvl="8" w:tplc="EA30F086">
      <w:start w:val="1"/>
      <w:numFmt w:val="bullet"/>
      <w:lvlText w:val="▪"/>
      <w:lvlJc w:val="left"/>
      <w:pPr>
        <w:ind w:left="6120"/>
      </w:pPr>
      <w:rPr>
        <w:rFonts w:ascii="Calibri" w:eastAsia="Calibri" w:hAnsi="Calibri" w:cs="Calibri"/>
        <w:b w:val="0"/>
        <w:i w:val="0"/>
        <w:strike w:val="0"/>
        <w:dstrike w:val="0"/>
        <w:color w:val="007BCA"/>
        <w:sz w:val="20"/>
        <w:szCs w:val="20"/>
        <w:u w:val="none" w:color="000000"/>
        <w:bdr w:val="none" w:sz="0" w:space="0" w:color="auto"/>
        <w:shd w:val="clear" w:color="auto" w:fill="auto"/>
        <w:vertAlign w:val="baseline"/>
      </w:rPr>
    </w:lvl>
  </w:abstractNum>
  <w:abstractNum w:abstractNumId="5" w15:restartNumberingAfterBreak="0">
    <w:nsid w:val="28A80242"/>
    <w:multiLevelType w:val="hybridMultilevel"/>
    <w:tmpl w:val="9446DBE2"/>
    <w:lvl w:ilvl="0" w:tplc="15F6CE44">
      <w:start w:val="1"/>
      <w:numFmt w:val="bullet"/>
      <w:lvlText w:val="•"/>
      <w:lvlJc w:val="left"/>
      <w:pPr>
        <w:ind w:left="1303"/>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1" w:tplc="9DA40838">
      <w:start w:val="1"/>
      <w:numFmt w:val="bullet"/>
      <w:lvlText w:val="o"/>
      <w:lvlJc w:val="left"/>
      <w:pPr>
        <w:ind w:left="108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2" w:tplc="C1765DFA">
      <w:start w:val="1"/>
      <w:numFmt w:val="bullet"/>
      <w:lvlText w:val="▪"/>
      <w:lvlJc w:val="left"/>
      <w:pPr>
        <w:ind w:left="180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3" w:tplc="9F560D02">
      <w:start w:val="1"/>
      <w:numFmt w:val="bullet"/>
      <w:lvlText w:val="•"/>
      <w:lvlJc w:val="left"/>
      <w:pPr>
        <w:ind w:left="252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4" w:tplc="6D12D0AC">
      <w:start w:val="1"/>
      <w:numFmt w:val="bullet"/>
      <w:lvlText w:val="o"/>
      <w:lvlJc w:val="left"/>
      <w:pPr>
        <w:ind w:left="324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5" w:tplc="ED5A5362">
      <w:start w:val="1"/>
      <w:numFmt w:val="bullet"/>
      <w:lvlText w:val="▪"/>
      <w:lvlJc w:val="left"/>
      <w:pPr>
        <w:ind w:left="396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6" w:tplc="33D00256">
      <w:start w:val="1"/>
      <w:numFmt w:val="bullet"/>
      <w:lvlText w:val="•"/>
      <w:lvlJc w:val="left"/>
      <w:pPr>
        <w:ind w:left="468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7" w:tplc="F612C04E">
      <w:start w:val="1"/>
      <w:numFmt w:val="bullet"/>
      <w:lvlText w:val="o"/>
      <w:lvlJc w:val="left"/>
      <w:pPr>
        <w:ind w:left="540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8" w:tplc="0C38220A">
      <w:start w:val="1"/>
      <w:numFmt w:val="bullet"/>
      <w:lvlText w:val="▪"/>
      <w:lvlJc w:val="left"/>
      <w:pPr>
        <w:ind w:left="612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abstractNum>
  <w:abstractNum w:abstractNumId="6" w15:restartNumberingAfterBreak="0">
    <w:nsid w:val="2C7305D7"/>
    <w:multiLevelType w:val="hybridMultilevel"/>
    <w:tmpl w:val="626A12B8"/>
    <w:lvl w:ilvl="0" w:tplc="7B40DD24">
      <w:start w:val="7"/>
      <w:numFmt w:val="decimal"/>
      <w:lvlText w:val="%1"/>
      <w:lvlJc w:val="left"/>
      <w:pPr>
        <w:ind w:left="3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1" w:tplc="4FA24A02">
      <w:start w:val="1"/>
      <w:numFmt w:val="lowerLetter"/>
      <w:lvlText w:val="%2"/>
      <w:lvlJc w:val="left"/>
      <w:pPr>
        <w:ind w:left="10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2" w:tplc="A32C5306">
      <w:start w:val="1"/>
      <w:numFmt w:val="lowerRoman"/>
      <w:lvlText w:val="%3"/>
      <w:lvlJc w:val="left"/>
      <w:pPr>
        <w:ind w:left="18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3" w:tplc="93360428">
      <w:start w:val="1"/>
      <w:numFmt w:val="decimal"/>
      <w:lvlText w:val="%4"/>
      <w:lvlJc w:val="left"/>
      <w:pPr>
        <w:ind w:left="25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4" w:tplc="D2441126">
      <w:start w:val="1"/>
      <w:numFmt w:val="lowerLetter"/>
      <w:lvlText w:val="%5"/>
      <w:lvlJc w:val="left"/>
      <w:pPr>
        <w:ind w:left="32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5" w:tplc="4DCAAA18">
      <w:start w:val="1"/>
      <w:numFmt w:val="lowerRoman"/>
      <w:lvlText w:val="%6"/>
      <w:lvlJc w:val="left"/>
      <w:pPr>
        <w:ind w:left="396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6" w:tplc="D88AC362">
      <w:start w:val="1"/>
      <w:numFmt w:val="decimal"/>
      <w:lvlText w:val="%7"/>
      <w:lvlJc w:val="left"/>
      <w:pPr>
        <w:ind w:left="46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7" w:tplc="022A6A16">
      <w:start w:val="1"/>
      <w:numFmt w:val="lowerLetter"/>
      <w:lvlText w:val="%8"/>
      <w:lvlJc w:val="left"/>
      <w:pPr>
        <w:ind w:left="54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8" w:tplc="3CA86B8A">
      <w:start w:val="1"/>
      <w:numFmt w:val="lowerRoman"/>
      <w:lvlText w:val="%9"/>
      <w:lvlJc w:val="left"/>
      <w:pPr>
        <w:ind w:left="61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abstractNum>
  <w:abstractNum w:abstractNumId="7" w15:restartNumberingAfterBreak="0">
    <w:nsid w:val="2D7E00B9"/>
    <w:multiLevelType w:val="hybridMultilevel"/>
    <w:tmpl w:val="B9C43B04"/>
    <w:lvl w:ilvl="0" w:tplc="57D87E88">
      <w:start w:val="1"/>
      <w:numFmt w:val="bullet"/>
      <w:lvlText w:val="•"/>
      <w:lvlJc w:val="left"/>
      <w:pPr>
        <w:ind w:left="1303"/>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1" w:tplc="9080F45A">
      <w:start w:val="1"/>
      <w:numFmt w:val="bullet"/>
      <w:lvlText w:val="o"/>
      <w:lvlJc w:val="left"/>
      <w:pPr>
        <w:ind w:left="108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2" w:tplc="B554E31C">
      <w:start w:val="1"/>
      <w:numFmt w:val="bullet"/>
      <w:lvlText w:val="▪"/>
      <w:lvlJc w:val="left"/>
      <w:pPr>
        <w:ind w:left="180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3" w:tplc="53FA1A90">
      <w:start w:val="1"/>
      <w:numFmt w:val="bullet"/>
      <w:lvlText w:val="•"/>
      <w:lvlJc w:val="left"/>
      <w:pPr>
        <w:ind w:left="252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4" w:tplc="4E28C53E">
      <w:start w:val="1"/>
      <w:numFmt w:val="bullet"/>
      <w:lvlText w:val="o"/>
      <w:lvlJc w:val="left"/>
      <w:pPr>
        <w:ind w:left="324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5" w:tplc="6C74197E">
      <w:start w:val="1"/>
      <w:numFmt w:val="bullet"/>
      <w:lvlText w:val="▪"/>
      <w:lvlJc w:val="left"/>
      <w:pPr>
        <w:ind w:left="396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6" w:tplc="7A3CDE20">
      <w:start w:val="1"/>
      <w:numFmt w:val="bullet"/>
      <w:lvlText w:val="•"/>
      <w:lvlJc w:val="left"/>
      <w:pPr>
        <w:ind w:left="468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7" w:tplc="F06873C4">
      <w:start w:val="1"/>
      <w:numFmt w:val="bullet"/>
      <w:lvlText w:val="o"/>
      <w:lvlJc w:val="left"/>
      <w:pPr>
        <w:ind w:left="540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8" w:tplc="9E046E14">
      <w:start w:val="1"/>
      <w:numFmt w:val="bullet"/>
      <w:lvlText w:val="▪"/>
      <w:lvlJc w:val="left"/>
      <w:pPr>
        <w:ind w:left="612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abstractNum>
  <w:abstractNum w:abstractNumId="8" w15:restartNumberingAfterBreak="0">
    <w:nsid w:val="47C755A0"/>
    <w:multiLevelType w:val="hybridMultilevel"/>
    <w:tmpl w:val="2BD27D46"/>
    <w:lvl w:ilvl="0" w:tplc="504AAF50">
      <w:start w:val="1"/>
      <w:numFmt w:val="bullet"/>
      <w:lvlText w:val="•"/>
      <w:lvlJc w:val="left"/>
      <w:pPr>
        <w:ind w:left="1303"/>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1" w:tplc="0C80E656">
      <w:start w:val="1"/>
      <w:numFmt w:val="bullet"/>
      <w:lvlText w:val="o"/>
      <w:lvlJc w:val="left"/>
      <w:pPr>
        <w:ind w:left="108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2" w:tplc="077A3ABE">
      <w:start w:val="1"/>
      <w:numFmt w:val="bullet"/>
      <w:lvlText w:val="▪"/>
      <w:lvlJc w:val="left"/>
      <w:pPr>
        <w:ind w:left="180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3" w:tplc="E7F06766">
      <w:start w:val="1"/>
      <w:numFmt w:val="bullet"/>
      <w:lvlText w:val="•"/>
      <w:lvlJc w:val="left"/>
      <w:pPr>
        <w:ind w:left="252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4" w:tplc="4740B276">
      <w:start w:val="1"/>
      <w:numFmt w:val="bullet"/>
      <w:lvlText w:val="o"/>
      <w:lvlJc w:val="left"/>
      <w:pPr>
        <w:ind w:left="324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5" w:tplc="CD828E68">
      <w:start w:val="1"/>
      <w:numFmt w:val="bullet"/>
      <w:lvlText w:val="▪"/>
      <w:lvlJc w:val="left"/>
      <w:pPr>
        <w:ind w:left="396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6" w:tplc="C33A34EE">
      <w:start w:val="1"/>
      <w:numFmt w:val="bullet"/>
      <w:lvlText w:val="•"/>
      <w:lvlJc w:val="left"/>
      <w:pPr>
        <w:ind w:left="468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7" w:tplc="DAC8B7B0">
      <w:start w:val="1"/>
      <w:numFmt w:val="bullet"/>
      <w:lvlText w:val="o"/>
      <w:lvlJc w:val="left"/>
      <w:pPr>
        <w:ind w:left="540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8" w:tplc="58201F46">
      <w:start w:val="1"/>
      <w:numFmt w:val="bullet"/>
      <w:lvlText w:val="▪"/>
      <w:lvlJc w:val="left"/>
      <w:pPr>
        <w:ind w:left="612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abstractNum>
  <w:abstractNum w:abstractNumId="9" w15:restartNumberingAfterBreak="0">
    <w:nsid w:val="4BCA522B"/>
    <w:multiLevelType w:val="hybridMultilevel"/>
    <w:tmpl w:val="28746C48"/>
    <w:lvl w:ilvl="0" w:tplc="95DECA82">
      <w:start w:val="4"/>
      <w:numFmt w:val="decimal"/>
      <w:lvlText w:val="%1"/>
      <w:lvlJc w:val="left"/>
      <w:pPr>
        <w:ind w:left="3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1" w:tplc="917E3D24">
      <w:start w:val="1"/>
      <w:numFmt w:val="lowerLetter"/>
      <w:lvlText w:val="%2"/>
      <w:lvlJc w:val="left"/>
      <w:pPr>
        <w:ind w:left="10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2" w:tplc="023E7D5A">
      <w:start w:val="1"/>
      <w:numFmt w:val="lowerRoman"/>
      <w:lvlText w:val="%3"/>
      <w:lvlJc w:val="left"/>
      <w:pPr>
        <w:ind w:left="18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3" w:tplc="46601E4C">
      <w:start w:val="1"/>
      <w:numFmt w:val="decimal"/>
      <w:lvlText w:val="%4"/>
      <w:lvlJc w:val="left"/>
      <w:pPr>
        <w:ind w:left="25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4" w:tplc="C93EC7CC">
      <w:start w:val="1"/>
      <w:numFmt w:val="lowerLetter"/>
      <w:lvlText w:val="%5"/>
      <w:lvlJc w:val="left"/>
      <w:pPr>
        <w:ind w:left="32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5" w:tplc="94308DD0">
      <w:start w:val="1"/>
      <w:numFmt w:val="lowerRoman"/>
      <w:lvlText w:val="%6"/>
      <w:lvlJc w:val="left"/>
      <w:pPr>
        <w:ind w:left="396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6" w:tplc="FFF4DFD0">
      <w:start w:val="1"/>
      <w:numFmt w:val="decimal"/>
      <w:lvlText w:val="%7"/>
      <w:lvlJc w:val="left"/>
      <w:pPr>
        <w:ind w:left="46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7" w:tplc="DBC234EC">
      <w:start w:val="1"/>
      <w:numFmt w:val="lowerLetter"/>
      <w:lvlText w:val="%8"/>
      <w:lvlJc w:val="left"/>
      <w:pPr>
        <w:ind w:left="54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8" w:tplc="D32CF116">
      <w:start w:val="1"/>
      <w:numFmt w:val="lowerRoman"/>
      <w:lvlText w:val="%9"/>
      <w:lvlJc w:val="left"/>
      <w:pPr>
        <w:ind w:left="61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abstractNum>
  <w:abstractNum w:abstractNumId="10" w15:restartNumberingAfterBreak="0">
    <w:nsid w:val="6141559E"/>
    <w:multiLevelType w:val="hybridMultilevel"/>
    <w:tmpl w:val="AB0C9EDA"/>
    <w:lvl w:ilvl="0" w:tplc="94ECC29A">
      <w:start w:val="1"/>
      <w:numFmt w:val="bullet"/>
      <w:lvlText w:val="•"/>
      <w:lvlJc w:val="left"/>
      <w:pPr>
        <w:ind w:left="1644"/>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1" w:tplc="182CC108">
      <w:start w:val="1"/>
      <w:numFmt w:val="bullet"/>
      <w:lvlText w:val="o"/>
      <w:lvlJc w:val="left"/>
      <w:pPr>
        <w:ind w:left="2554"/>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2" w:tplc="CA9A2D52">
      <w:start w:val="1"/>
      <w:numFmt w:val="bullet"/>
      <w:lvlText w:val="▪"/>
      <w:lvlJc w:val="left"/>
      <w:pPr>
        <w:ind w:left="3274"/>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3" w:tplc="F30A47EC">
      <w:start w:val="1"/>
      <w:numFmt w:val="bullet"/>
      <w:lvlText w:val="•"/>
      <w:lvlJc w:val="left"/>
      <w:pPr>
        <w:ind w:left="3994"/>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4" w:tplc="8FF08274">
      <w:start w:val="1"/>
      <w:numFmt w:val="bullet"/>
      <w:lvlText w:val="o"/>
      <w:lvlJc w:val="left"/>
      <w:pPr>
        <w:ind w:left="4714"/>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5" w:tplc="0D9EEAD2">
      <w:start w:val="1"/>
      <w:numFmt w:val="bullet"/>
      <w:lvlText w:val="▪"/>
      <w:lvlJc w:val="left"/>
      <w:pPr>
        <w:ind w:left="5434"/>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6" w:tplc="1316AF40">
      <w:start w:val="1"/>
      <w:numFmt w:val="bullet"/>
      <w:lvlText w:val="•"/>
      <w:lvlJc w:val="left"/>
      <w:pPr>
        <w:ind w:left="6154"/>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7" w:tplc="C302B64E">
      <w:start w:val="1"/>
      <w:numFmt w:val="bullet"/>
      <w:lvlText w:val="o"/>
      <w:lvlJc w:val="left"/>
      <w:pPr>
        <w:ind w:left="6874"/>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8" w:tplc="7A78EB56">
      <w:start w:val="1"/>
      <w:numFmt w:val="bullet"/>
      <w:lvlText w:val="▪"/>
      <w:lvlJc w:val="left"/>
      <w:pPr>
        <w:ind w:left="7594"/>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0">
    <w:nsid w:val="6B9806B5"/>
    <w:multiLevelType w:val="hybridMultilevel"/>
    <w:tmpl w:val="1674DB0C"/>
    <w:lvl w:ilvl="0" w:tplc="0BC4C5D8">
      <w:start w:val="1"/>
      <w:numFmt w:val="bullet"/>
      <w:lvlText w:val="•"/>
      <w:lvlJc w:val="left"/>
      <w:pPr>
        <w:ind w:left="1303"/>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1" w:tplc="6254B03E">
      <w:start w:val="1"/>
      <w:numFmt w:val="bullet"/>
      <w:lvlText w:val="o"/>
      <w:lvlJc w:val="left"/>
      <w:pPr>
        <w:ind w:left="108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2" w:tplc="AB6278A0">
      <w:start w:val="1"/>
      <w:numFmt w:val="bullet"/>
      <w:lvlText w:val="▪"/>
      <w:lvlJc w:val="left"/>
      <w:pPr>
        <w:ind w:left="180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3" w:tplc="351CD6E8">
      <w:start w:val="1"/>
      <w:numFmt w:val="bullet"/>
      <w:lvlText w:val="•"/>
      <w:lvlJc w:val="left"/>
      <w:pPr>
        <w:ind w:left="252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4" w:tplc="3FC00770">
      <w:start w:val="1"/>
      <w:numFmt w:val="bullet"/>
      <w:lvlText w:val="o"/>
      <w:lvlJc w:val="left"/>
      <w:pPr>
        <w:ind w:left="324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5" w:tplc="B07E63AA">
      <w:start w:val="1"/>
      <w:numFmt w:val="bullet"/>
      <w:lvlText w:val="▪"/>
      <w:lvlJc w:val="left"/>
      <w:pPr>
        <w:ind w:left="396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6" w:tplc="D44880B0">
      <w:start w:val="1"/>
      <w:numFmt w:val="bullet"/>
      <w:lvlText w:val="•"/>
      <w:lvlJc w:val="left"/>
      <w:pPr>
        <w:ind w:left="468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7" w:tplc="761461FE">
      <w:start w:val="1"/>
      <w:numFmt w:val="bullet"/>
      <w:lvlText w:val="o"/>
      <w:lvlJc w:val="left"/>
      <w:pPr>
        <w:ind w:left="540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8" w:tplc="E7C4DB68">
      <w:start w:val="1"/>
      <w:numFmt w:val="bullet"/>
      <w:lvlText w:val="▪"/>
      <w:lvlJc w:val="left"/>
      <w:pPr>
        <w:ind w:left="612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abstractNum>
  <w:abstractNum w:abstractNumId="12" w15:restartNumberingAfterBreak="0">
    <w:nsid w:val="785B1387"/>
    <w:multiLevelType w:val="hybridMultilevel"/>
    <w:tmpl w:val="B8B0B1C2"/>
    <w:lvl w:ilvl="0" w:tplc="EC06410E">
      <w:start w:val="1"/>
      <w:numFmt w:val="bullet"/>
      <w:lvlText w:val="•"/>
      <w:lvlJc w:val="left"/>
      <w:pPr>
        <w:ind w:left="17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1" w:tplc="2EC00B66">
      <w:start w:val="1"/>
      <w:numFmt w:val="bullet"/>
      <w:lvlText w:val="o"/>
      <w:lvlJc w:val="left"/>
      <w:pPr>
        <w:ind w:left="108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2" w:tplc="AD96EE48">
      <w:start w:val="1"/>
      <w:numFmt w:val="bullet"/>
      <w:lvlText w:val="▪"/>
      <w:lvlJc w:val="left"/>
      <w:pPr>
        <w:ind w:left="180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3" w:tplc="C9205322">
      <w:start w:val="1"/>
      <w:numFmt w:val="bullet"/>
      <w:lvlText w:val="•"/>
      <w:lvlJc w:val="left"/>
      <w:pPr>
        <w:ind w:left="252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4" w:tplc="D6425A90">
      <w:start w:val="1"/>
      <w:numFmt w:val="bullet"/>
      <w:lvlText w:val="o"/>
      <w:lvlJc w:val="left"/>
      <w:pPr>
        <w:ind w:left="324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5" w:tplc="C8B4502C">
      <w:start w:val="1"/>
      <w:numFmt w:val="bullet"/>
      <w:lvlText w:val="▪"/>
      <w:lvlJc w:val="left"/>
      <w:pPr>
        <w:ind w:left="396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6" w:tplc="421C7860">
      <w:start w:val="1"/>
      <w:numFmt w:val="bullet"/>
      <w:lvlText w:val="•"/>
      <w:lvlJc w:val="left"/>
      <w:pPr>
        <w:ind w:left="468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7" w:tplc="667E5B0E">
      <w:start w:val="1"/>
      <w:numFmt w:val="bullet"/>
      <w:lvlText w:val="o"/>
      <w:lvlJc w:val="left"/>
      <w:pPr>
        <w:ind w:left="540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8" w:tplc="8C1C72A8">
      <w:start w:val="1"/>
      <w:numFmt w:val="bullet"/>
      <w:lvlText w:val="▪"/>
      <w:lvlJc w:val="left"/>
      <w:pPr>
        <w:ind w:left="612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abstractNum>
  <w:num w:numId="1">
    <w:abstractNumId w:val="7"/>
  </w:num>
  <w:num w:numId="2">
    <w:abstractNumId w:val="5"/>
  </w:num>
  <w:num w:numId="3">
    <w:abstractNumId w:val="4"/>
  </w:num>
  <w:num w:numId="4">
    <w:abstractNumId w:val="1"/>
  </w:num>
  <w:num w:numId="5">
    <w:abstractNumId w:val="10"/>
  </w:num>
  <w:num w:numId="6">
    <w:abstractNumId w:val="12"/>
  </w:num>
  <w:num w:numId="7">
    <w:abstractNumId w:val="3"/>
  </w:num>
  <w:num w:numId="8">
    <w:abstractNumId w:val="9"/>
  </w:num>
  <w:num w:numId="9">
    <w:abstractNumId w:val="6"/>
  </w:num>
  <w:num w:numId="10">
    <w:abstractNumId w:val="0"/>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141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86"/>
    <w:rsid w:val="00102F5F"/>
    <w:rsid w:val="00141BBA"/>
    <w:rsid w:val="00161286"/>
    <w:rsid w:val="00482D15"/>
    <w:rsid w:val="00505193"/>
    <w:rsid w:val="005A2814"/>
    <w:rsid w:val="005C720C"/>
    <w:rsid w:val="0061366E"/>
    <w:rsid w:val="00700AF1"/>
    <w:rsid w:val="0096306B"/>
    <w:rsid w:val="009926B0"/>
    <w:rsid w:val="009E52B2"/>
    <w:rsid w:val="00A564F3"/>
    <w:rsid w:val="00B36E59"/>
    <w:rsid w:val="00B4040C"/>
    <w:rsid w:val="00C95C92"/>
    <w:rsid w:val="00F2483A"/>
    <w:rsid w:val="00FE7A7F"/>
    <w:rsid w:val="00FF1C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9007D"/>
  <w15:docId w15:val="{3CD4E220-397E-5E4C-900F-273ECD1E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160" w:line="259" w:lineRule="auto"/>
    </w:pPr>
    <w:rPr>
      <w:rFonts w:ascii="Calibri" w:eastAsia="Calibri" w:hAnsi="Calibri" w:cs="Calibri"/>
      <w:color w:val="000000"/>
      <w:sz w:val="22"/>
      <w:lang w:bidi="nl-NL"/>
    </w:rPr>
  </w:style>
  <w:style w:type="paragraph" w:styleId="Kop1">
    <w:name w:val="heading 1"/>
    <w:next w:val="Standaard"/>
    <w:link w:val="Kop1Char"/>
    <w:uiPriority w:val="9"/>
    <w:qFormat/>
    <w:pPr>
      <w:keepNext/>
      <w:keepLines/>
      <w:spacing w:after="113" w:line="256" w:lineRule="auto"/>
      <w:ind w:left="24" w:hanging="10"/>
      <w:outlineLvl w:val="0"/>
    </w:pPr>
    <w:rPr>
      <w:rFonts w:ascii="Calibri" w:eastAsia="Calibri" w:hAnsi="Calibri" w:cs="Calibri"/>
      <w:b/>
      <w:color w:val="E06F00"/>
      <w:sz w:val="28"/>
    </w:rPr>
  </w:style>
  <w:style w:type="paragraph" w:styleId="Kop2">
    <w:name w:val="heading 2"/>
    <w:next w:val="Standaard"/>
    <w:link w:val="Kop2Char"/>
    <w:uiPriority w:val="9"/>
    <w:unhideWhenUsed/>
    <w:qFormat/>
    <w:pPr>
      <w:keepNext/>
      <w:keepLines/>
      <w:spacing w:after="200" w:line="250" w:lineRule="auto"/>
      <w:ind w:left="10" w:hanging="10"/>
      <w:outlineLvl w:val="1"/>
    </w:pPr>
    <w:rPr>
      <w:rFonts w:ascii="Calibri" w:eastAsia="Calibri" w:hAnsi="Calibri" w:cs="Calibri"/>
      <w:b/>
      <w:color w:val="007AC6"/>
      <w:sz w:val="36"/>
    </w:rPr>
  </w:style>
  <w:style w:type="paragraph" w:styleId="Kop3">
    <w:name w:val="heading 3"/>
    <w:next w:val="Standaard"/>
    <w:link w:val="Kop3Char"/>
    <w:uiPriority w:val="9"/>
    <w:unhideWhenUsed/>
    <w:qFormat/>
    <w:pPr>
      <w:keepNext/>
      <w:keepLines/>
      <w:spacing w:line="259" w:lineRule="auto"/>
      <w:ind w:left="1144" w:hanging="10"/>
      <w:outlineLvl w:val="2"/>
    </w:pPr>
    <w:rPr>
      <w:rFonts w:ascii="Calibri" w:eastAsia="Calibri" w:hAnsi="Calibri" w:cs="Calibri"/>
      <w:b/>
      <w:color w:val="007BCA"/>
      <w:sz w:val="22"/>
    </w:rPr>
  </w:style>
  <w:style w:type="paragraph" w:styleId="Kop4">
    <w:name w:val="heading 4"/>
    <w:next w:val="Standaard"/>
    <w:link w:val="Kop4Char"/>
    <w:uiPriority w:val="9"/>
    <w:unhideWhenUsed/>
    <w:qFormat/>
    <w:pPr>
      <w:keepNext/>
      <w:keepLines/>
      <w:spacing w:after="3" w:line="259" w:lineRule="auto"/>
      <w:outlineLvl w:val="3"/>
    </w:pPr>
    <w:rPr>
      <w:rFonts w:ascii="Calibri" w:eastAsia="Calibri" w:hAnsi="Calibri" w:cs="Calibri"/>
      <w:b/>
      <w:color w:val="1C1C1B"/>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Pr>
      <w:rFonts w:ascii="Calibri" w:eastAsia="Calibri" w:hAnsi="Calibri" w:cs="Calibri"/>
      <w:b/>
      <w:color w:val="1C1C1B"/>
      <w:sz w:val="18"/>
    </w:rPr>
  </w:style>
  <w:style w:type="character" w:customStyle="1" w:styleId="Kop3Char">
    <w:name w:val="Kop 3 Char"/>
    <w:link w:val="Kop3"/>
    <w:rPr>
      <w:rFonts w:ascii="Calibri" w:eastAsia="Calibri" w:hAnsi="Calibri" w:cs="Calibri"/>
      <w:b/>
      <w:color w:val="007BCA"/>
      <w:sz w:val="22"/>
    </w:rPr>
  </w:style>
  <w:style w:type="character" w:customStyle="1" w:styleId="Kop2Char">
    <w:name w:val="Kop 2 Char"/>
    <w:link w:val="Kop2"/>
    <w:rPr>
      <w:rFonts w:ascii="Calibri" w:eastAsia="Calibri" w:hAnsi="Calibri" w:cs="Calibri"/>
      <w:b/>
      <w:color w:val="007AC6"/>
      <w:sz w:val="36"/>
    </w:rPr>
  </w:style>
  <w:style w:type="paragraph" w:customStyle="1" w:styleId="footnotedescription">
    <w:name w:val="footnote description"/>
    <w:next w:val="Standaard"/>
    <w:link w:val="footnotedescriptionChar"/>
    <w:hidden/>
    <w:pPr>
      <w:spacing w:after="7" w:line="259" w:lineRule="auto"/>
      <w:ind w:left="1134"/>
    </w:pPr>
    <w:rPr>
      <w:rFonts w:ascii="Calibri" w:eastAsia="Calibri" w:hAnsi="Calibri" w:cs="Calibri"/>
      <w:color w:val="1C1C1B"/>
      <w:sz w:val="15"/>
    </w:rPr>
  </w:style>
  <w:style w:type="character" w:customStyle="1" w:styleId="footnotedescriptionChar">
    <w:name w:val="footnote description Char"/>
    <w:link w:val="footnotedescription"/>
    <w:rPr>
      <w:rFonts w:ascii="Calibri" w:eastAsia="Calibri" w:hAnsi="Calibri" w:cs="Calibri"/>
      <w:color w:val="1C1C1B"/>
      <w:sz w:val="15"/>
    </w:rPr>
  </w:style>
  <w:style w:type="character" w:customStyle="1" w:styleId="Kop1Char">
    <w:name w:val="Kop 1 Char"/>
    <w:link w:val="Kop1"/>
    <w:rPr>
      <w:rFonts w:ascii="Calibri" w:eastAsia="Calibri" w:hAnsi="Calibri" w:cs="Calibri"/>
      <w:b/>
      <w:color w:val="E06F00"/>
      <w:sz w:val="28"/>
    </w:rPr>
  </w:style>
  <w:style w:type="character" w:customStyle="1" w:styleId="footnotemark">
    <w:name w:val="footnote mark"/>
    <w:hidden/>
    <w:rPr>
      <w:rFonts w:ascii="Calibri" w:eastAsia="Calibri" w:hAnsi="Calibri" w:cs="Calibri"/>
      <w:b/>
      <w:color w:val="1C1C1B"/>
      <w:sz w:val="13"/>
      <w:vertAlign w:val="superscript"/>
    </w:rPr>
  </w:style>
  <w:style w:type="table" w:customStyle="1" w:styleId="TableGrid">
    <w:name w:val="TableGrid"/>
    <w:tblPr>
      <w:tblCellMar>
        <w:top w:w="0" w:type="dxa"/>
        <w:left w:w="0" w:type="dxa"/>
        <w:bottom w:w="0" w:type="dxa"/>
        <w:right w:w="0" w:type="dxa"/>
      </w:tblCellMar>
    </w:tblPr>
  </w:style>
  <w:style w:type="paragraph" w:styleId="Koptekst">
    <w:name w:val="header"/>
    <w:basedOn w:val="Standaard"/>
    <w:link w:val="KoptekstChar"/>
    <w:uiPriority w:val="99"/>
    <w:unhideWhenUsed/>
    <w:rsid w:val="009926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26B0"/>
    <w:rPr>
      <w:rFonts w:ascii="Calibri" w:eastAsia="Calibri" w:hAnsi="Calibri" w:cs="Calibri"/>
      <w:color w:val="000000"/>
      <w:sz w:val="22"/>
      <w:lang w:bidi="nl-NL"/>
    </w:rPr>
  </w:style>
  <w:style w:type="paragraph" w:styleId="Voettekst">
    <w:name w:val="footer"/>
    <w:basedOn w:val="Standaard"/>
    <w:link w:val="VoettekstChar"/>
    <w:uiPriority w:val="99"/>
    <w:unhideWhenUsed/>
    <w:rsid w:val="009926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26B0"/>
    <w:rPr>
      <w:rFonts w:ascii="Calibri" w:eastAsia="Calibri" w:hAnsi="Calibri" w:cs="Calibri"/>
      <w:color w:val="000000"/>
      <w:sz w:val="22"/>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yperlink" Target="https://www.verwey-jonker.nl/wp-content/uploads/2021/02/216037_Kwestie_van_lange_adem-WEB.pdf" TargetMode="External"/><Relationship Id="rId21" Type="http://schemas.openxmlformats.org/officeDocument/2006/relationships/footer" Target="footer6.xml"/><Relationship Id="rId34" Type="http://schemas.openxmlformats.org/officeDocument/2006/relationships/hyperlink" Target="https://www.toezichtsociaaldomein.nl/onderzoeken-en-instrumenten/lokale-netwerk-na-veilig-thuis" TargetMode="External"/><Relationship Id="rId42" Type="http://schemas.openxmlformats.org/officeDocument/2006/relationships/header" Target="header11.xml"/><Relationship Id="rId47" Type="http://schemas.openxmlformats.org/officeDocument/2006/relationships/hyperlink" Target="http://www.vng.nl/geweldnergensthuis" TargetMode="External"/><Relationship Id="rId50" Type="http://schemas.openxmlformats.org/officeDocument/2006/relationships/header" Target="header14.xml"/><Relationship Id="rId55" Type="http://schemas.openxmlformats.org/officeDocument/2006/relationships/fontTable" Target="fontTable.xml"/><Relationship Id="rId7" Type="http://schemas.openxmlformats.org/officeDocument/2006/relationships/hyperlink" Target="https://vng.nl/artikelen/routekaart-kwaliteitskader-werken-aan-veiligheid-voor-lokale-wijk-teams-en-gemeenten"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vng.nl/artikelen/routekaart-kwaliteitskader-werken-aan-veiligheid-voor-lokale-wijk-teams-en-gemeenten" TargetMode="Externa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yperlink" Target="https://civilcare.org/images/documenten/Visiedocument%20gefaseerde%20ketensamenwerking%20oktober%202016%20Vogtlander%20%26%20Van%20Arum.pdf" TargetMode="External"/><Relationship Id="rId37" Type="http://schemas.openxmlformats.org/officeDocument/2006/relationships/hyperlink" Target="https://www.toezichtsociaaldomein.nl/onderzoeken-en-instrumenten/regie-sociaal-domein" TargetMode="External"/><Relationship Id="rId40" Type="http://schemas.openxmlformats.org/officeDocument/2006/relationships/hyperlink" Target="https://www.verwey-jonker.nl/wp-content/uploads/2021/02/216037_Kwestie_van_lange_adem-WEB.pdf" TargetMode="External"/><Relationship Id="rId45" Type="http://schemas.openxmlformats.org/officeDocument/2006/relationships/header" Target="header12.xml"/><Relationship Id="rId53" Type="http://schemas.openxmlformats.org/officeDocument/2006/relationships/header" Target="header15.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civilcare.org/images/documenten/Visiedocument%20gefaseerde%20ketensamenwerking%20oktober%202016%20Vogtlander%20%26%20Van%20Arum.pdf" TargetMode="External"/><Relationship Id="rId44" Type="http://schemas.openxmlformats.org/officeDocument/2006/relationships/footer" Target="footer11.xml"/><Relationship Id="rId52"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vng.nl/artikelen/routekaart-kwaliteitskader-werken-aan-veiligheid-voor-lokale-wijk-teams-en-gemeenten" TargetMode="Externa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yperlink" Target="https://civilcare.org/images/documenten/Visiedocument%20gefaseerde%20ketensamenwerking%20oktober%202016%20Vogtlander%20%26%20Van%20Arum.pdf" TargetMode="External"/><Relationship Id="rId35" Type="http://schemas.openxmlformats.org/officeDocument/2006/relationships/hyperlink" Target="https://www.toezichtsociaaldomein.nl/onderzoeken-en-instrumenten/lokale-netwerk-na-veilig-thuis" TargetMode="External"/><Relationship Id="rId43" Type="http://schemas.openxmlformats.org/officeDocument/2006/relationships/footer" Target="footer10.xml"/><Relationship Id="rId48" Type="http://schemas.openxmlformats.org/officeDocument/2006/relationships/image" Target="media/image4.png"/><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yperlink" Target="https://www.toezichtsociaaldomein.nl/onderzoeken-en-instrumenten/lokale-netwerk-na-veilig-thuis" TargetMode="External"/><Relationship Id="rId38" Type="http://schemas.openxmlformats.org/officeDocument/2006/relationships/hyperlink" Target="https://www.toezichtsociaaldomein.nl/onderzoeken-en-instrumenten/regie-sociaal-domein" TargetMode="External"/><Relationship Id="rId46" Type="http://schemas.openxmlformats.org/officeDocument/2006/relationships/footer" Target="footer12.xml"/><Relationship Id="rId20" Type="http://schemas.openxmlformats.org/officeDocument/2006/relationships/header" Target="header6.xml"/><Relationship Id="rId41" Type="http://schemas.openxmlformats.org/officeDocument/2006/relationships/header" Target="header10.xml"/><Relationship Id="rId54"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yperlink" Target="https://www.toezichtsociaaldomein.nl/onderzoeken-en-instrumenten/regie-sociaal-domein" TargetMode="External"/><Relationship Id="rId49" Type="http://schemas.openxmlformats.org/officeDocument/2006/relationships/header" Target="header13.xml"/></Relationships>
</file>

<file path=word/_rels/footnotes.xml.rels><?xml version="1.0" encoding="UTF-8" standalone="yes"?>
<Relationships xmlns="http://schemas.openxmlformats.org/package/2006/relationships"><Relationship Id="rId3" Type="http://schemas.openxmlformats.org/officeDocument/2006/relationships/hyperlink" Target="https://www.igj.nl/onderwerpen/passende-jeugdhulp" TargetMode="External"/><Relationship Id="rId2" Type="http://schemas.openxmlformats.org/officeDocument/2006/relationships/hyperlink" Target="https://www.igj.nl/onderwerpen/passende-jeugdhulp" TargetMode="External"/><Relationship Id="rId1" Type="http://schemas.openxmlformats.org/officeDocument/2006/relationships/hyperlink" Target="https://www.igj.nl/onderwerpen/passende-jeugdhulp" TargetMode="External"/><Relationship Id="rId6" Type="http://schemas.openxmlformats.org/officeDocument/2006/relationships/hyperlink" Target="https://vng.nl/files/vng/publicaties/2019/veiligthuis-interactief-protocol_v3.pdf" TargetMode="External"/><Relationship Id="rId5" Type="http://schemas.openxmlformats.org/officeDocument/2006/relationships/hyperlink" Target="https://vng.nl/files/vng/publicaties/2019/veiligthuis-interactief-protocol_v3.pdf" TargetMode="External"/><Relationship Id="rId4" Type="http://schemas.openxmlformats.org/officeDocument/2006/relationships/hyperlink" Target="https://vng.nl/files/vng/publicaties/2019/veiligthuis-interactief-protocol_v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3785</Words>
  <Characters>20823</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Geweld hoort nergens thuis | Gendersensitief handelen bij huiselijk geweld</vt:lpstr>
    </vt:vector>
  </TitlesOfParts>
  <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Geweld hoort nergens thuis | Gendersensitief handelen bij huiselijk geweld</dc:title>
  <dc:subject>VWS</dc:subject>
  <dc:creator>Ministerie van Volksgezondheid</dc:creator>
  <cp:keywords/>
  <cp:lastModifiedBy>Microsoft Office User</cp:lastModifiedBy>
  <cp:revision>3</cp:revision>
  <dcterms:created xsi:type="dcterms:W3CDTF">2021-11-12T16:57:00Z</dcterms:created>
  <dcterms:modified xsi:type="dcterms:W3CDTF">2021-11-12T17:01:00Z</dcterms:modified>
</cp:coreProperties>
</file>