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27A5" w14:textId="77057092" w:rsidR="00E2511B" w:rsidRPr="00A052E8" w:rsidRDefault="00E2511B" w:rsidP="004F059A">
      <w:pPr>
        <w:rPr>
          <w:rFonts w:eastAsiaTheme="majorEastAsia"/>
          <w:b/>
          <w:bCs/>
          <w:sz w:val="24"/>
          <w:szCs w:val="24"/>
        </w:rPr>
      </w:pPr>
      <w:r w:rsidRPr="00A052E8">
        <w:rPr>
          <w:rFonts w:eastAsiaTheme="majorEastAsia"/>
          <w:b/>
          <w:bCs/>
          <w:sz w:val="24"/>
          <w:szCs w:val="24"/>
        </w:rPr>
        <w:t>Was-wordt-tabel</w:t>
      </w:r>
      <w:r w:rsidR="00A052E8">
        <w:rPr>
          <w:rFonts w:eastAsiaTheme="majorEastAsia"/>
          <w:b/>
          <w:bCs/>
          <w:sz w:val="24"/>
          <w:szCs w:val="24"/>
        </w:rPr>
        <w:t xml:space="preserve"> wijziging </w:t>
      </w:r>
      <w:r w:rsidR="007A4D42">
        <w:rPr>
          <w:rFonts w:eastAsiaTheme="majorEastAsia"/>
          <w:b/>
          <w:bCs/>
          <w:sz w:val="24"/>
          <w:szCs w:val="24"/>
        </w:rPr>
        <w:t xml:space="preserve">artikel 2:79 </w:t>
      </w:r>
      <w:r w:rsidR="00A052E8">
        <w:rPr>
          <w:rFonts w:eastAsiaTheme="majorEastAsia"/>
          <w:b/>
          <w:bCs/>
          <w:sz w:val="24"/>
          <w:szCs w:val="24"/>
        </w:rPr>
        <w:t>Model-Algemene plaatselijke verordening (september 2021)</w:t>
      </w:r>
    </w:p>
    <w:p w14:paraId="2602EE5A" w14:textId="0BC7BD9B" w:rsidR="00A052E8" w:rsidRDefault="00A052E8" w:rsidP="004F059A">
      <w:pPr>
        <w:rPr>
          <w:rFonts w:eastAsiaTheme="majorEastAsia"/>
        </w:rPr>
      </w:pPr>
    </w:p>
    <w:tbl>
      <w:tblPr>
        <w:tblpPr w:leftFromText="141" w:rightFromText="141" w:vertAnchor="text" w:horzAnchor="margin" w:tblpY="254"/>
        <w:tblW w:w="0" w:type="auto"/>
        <w:tblBorders>
          <w:top w:val="single" w:sz="4" w:space="0" w:color="4B4B4B" w:themeColor="text2" w:themeTint="BF"/>
          <w:left w:val="single" w:sz="4" w:space="0" w:color="4B4B4B" w:themeColor="text2" w:themeTint="BF"/>
          <w:bottom w:val="single" w:sz="4" w:space="0" w:color="4B4B4B" w:themeColor="text2" w:themeTint="BF"/>
          <w:right w:val="single" w:sz="4" w:space="0" w:color="4B4B4B" w:themeColor="text2" w:themeTint="BF"/>
          <w:insideH w:val="single" w:sz="4" w:space="0" w:color="4B4B4B" w:themeColor="text2" w:themeTint="BF"/>
          <w:insideV w:val="single" w:sz="4" w:space="0" w:color="4B4B4B" w:themeColor="text2" w:themeTint="BF"/>
        </w:tblBorders>
        <w:tblLook w:val="04A0" w:firstRow="1" w:lastRow="0" w:firstColumn="1" w:lastColumn="0" w:noHBand="0" w:noVBand="1"/>
      </w:tblPr>
      <w:tblGrid>
        <w:gridCol w:w="9062"/>
      </w:tblGrid>
      <w:tr w:rsidR="00A052E8" w:rsidRPr="00A052E8" w14:paraId="186AAC91" w14:textId="77777777" w:rsidTr="004D7028">
        <w:trPr>
          <w:trHeight w:val="2121"/>
        </w:trPr>
        <w:tc>
          <w:tcPr>
            <w:tcW w:w="9062" w:type="dxa"/>
          </w:tcPr>
          <w:p w14:paraId="631F41A5" w14:textId="77777777" w:rsidR="00A052E8" w:rsidRPr="004D7028" w:rsidRDefault="00A052E8" w:rsidP="00A052E8">
            <w:pPr>
              <w:rPr>
                <w:rFonts w:eastAsiaTheme="majorEastAsia"/>
                <w:b/>
                <w:bCs/>
                <w:color w:val="4B4B4B" w:themeColor="text2" w:themeTint="BF"/>
              </w:rPr>
            </w:pPr>
            <w:r w:rsidRPr="004D7028">
              <w:rPr>
                <w:rFonts w:eastAsiaTheme="majorEastAsia"/>
                <w:b/>
                <w:bCs/>
                <w:color w:val="4B4B4B" w:themeColor="text2" w:themeTint="BF"/>
              </w:rPr>
              <w:t>Leeswijzer modelbepalingen</w:t>
            </w:r>
          </w:p>
          <w:p w14:paraId="736360B8" w14:textId="77777777" w:rsidR="00A052E8" w:rsidRPr="004D7028" w:rsidRDefault="00A052E8" w:rsidP="00A052E8">
            <w:pPr>
              <w:rPr>
                <w:rFonts w:eastAsiaTheme="majorEastAsia"/>
                <w:color w:val="4B4B4B" w:themeColor="text2" w:themeTint="BF"/>
              </w:rPr>
            </w:pPr>
            <w:r w:rsidRPr="004D7028">
              <w:rPr>
                <w:rFonts w:eastAsiaTheme="majorEastAsia"/>
                <w:b/>
                <w:bCs/>
                <w:color w:val="4B4B4B" w:themeColor="text2" w:themeTint="BF"/>
              </w:rPr>
              <w:t xml:space="preserve">- </w:t>
            </w:r>
            <w:r w:rsidRPr="004D7028">
              <w:rPr>
                <w:rFonts w:eastAsiaTheme="majorEastAsia"/>
                <w:bCs/>
                <w:color w:val="4B4B4B" w:themeColor="text2" w:themeTint="BF"/>
              </w:rPr>
              <w:t>[</w:t>
            </w:r>
            <w:r w:rsidRPr="004D7028">
              <w:rPr>
                <w:rFonts w:eastAsiaTheme="majorEastAsia"/>
                <w:i/>
                <w:color w:val="4B4B4B" w:themeColor="text2" w:themeTint="BF"/>
              </w:rPr>
              <w:t>iets</w:t>
            </w:r>
            <w:r w:rsidRPr="004D7028">
              <w:rPr>
                <w:rFonts w:eastAsiaTheme="majorEastAsia"/>
                <w:color w:val="4B4B4B" w:themeColor="text2" w:themeTint="BF"/>
              </w:rPr>
              <w:t>] = facultatief.</w:t>
            </w:r>
          </w:p>
          <w:p w14:paraId="16D82788" w14:textId="77777777" w:rsidR="00A052E8" w:rsidRPr="004D7028" w:rsidRDefault="00A052E8" w:rsidP="00A052E8">
            <w:pPr>
              <w:rPr>
                <w:rFonts w:eastAsiaTheme="majorEastAsia"/>
                <w:color w:val="4B4B4B" w:themeColor="text2" w:themeTint="BF"/>
              </w:rPr>
            </w:pPr>
          </w:p>
          <w:p w14:paraId="7D713A8F" w14:textId="6D1A92E8" w:rsidR="00A052E8" w:rsidRPr="004D7028" w:rsidRDefault="007A4D42" w:rsidP="00A052E8">
            <w:pPr>
              <w:rPr>
                <w:rFonts w:eastAsiaTheme="majorEastAsia"/>
                <w:color w:val="4B4B4B" w:themeColor="text2" w:themeTint="BF"/>
              </w:rPr>
            </w:pPr>
            <w:r w:rsidRPr="004D7028">
              <w:rPr>
                <w:rFonts w:eastAsiaTheme="majorEastAsia"/>
                <w:color w:val="4B4B4B" w:themeColor="text2" w:themeTint="BF"/>
              </w:rPr>
              <w:t>E</w:t>
            </w:r>
            <w:r w:rsidR="00A052E8" w:rsidRPr="004D7028">
              <w:rPr>
                <w:rFonts w:eastAsiaTheme="majorEastAsia"/>
                <w:color w:val="4B4B4B" w:themeColor="text2" w:themeTint="BF"/>
              </w:rPr>
              <w:t xml:space="preserve">erst </w:t>
            </w:r>
            <w:r w:rsidRPr="004D7028">
              <w:rPr>
                <w:rFonts w:eastAsiaTheme="majorEastAsia"/>
                <w:color w:val="4B4B4B" w:themeColor="text2" w:themeTint="BF"/>
              </w:rPr>
              <w:t xml:space="preserve">wordt </w:t>
            </w:r>
            <w:r w:rsidR="00A052E8" w:rsidRPr="004D7028">
              <w:rPr>
                <w:rFonts w:eastAsiaTheme="majorEastAsia"/>
                <w:color w:val="4B4B4B" w:themeColor="text2" w:themeTint="BF"/>
              </w:rPr>
              <w:t xml:space="preserve">aangegeven welk artikel wijzigt met daarbij een verwijzing naar het bijbehorende wijzigingsbesluit. </w:t>
            </w:r>
          </w:p>
          <w:p w14:paraId="6E003128" w14:textId="1DD0DF19" w:rsidR="00A052E8" w:rsidRPr="00A052E8" w:rsidRDefault="00A052E8" w:rsidP="00A052E8">
            <w:pPr>
              <w:rPr>
                <w:rFonts w:eastAsiaTheme="majorEastAsia"/>
                <w:b/>
                <w:bCs/>
              </w:rPr>
            </w:pPr>
            <w:r w:rsidRPr="004D7028">
              <w:rPr>
                <w:rFonts w:eastAsiaTheme="majorEastAsia"/>
                <w:color w:val="4B4B4B" w:themeColor="text2" w:themeTint="BF"/>
              </w:rPr>
              <w:t xml:space="preserve">In de </w:t>
            </w:r>
            <w:r w:rsidR="004D7028">
              <w:rPr>
                <w:rFonts w:eastAsiaTheme="majorEastAsia"/>
                <w:color w:val="4B4B4B" w:themeColor="text2" w:themeTint="BF"/>
              </w:rPr>
              <w:t>linkerkol</w:t>
            </w:r>
            <w:r w:rsidR="00334D26" w:rsidRPr="004D7028">
              <w:rPr>
                <w:rFonts w:eastAsiaTheme="majorEastAsia"/>
                <w:color w:val="4B4B4B" w:themeColor="text2" w:themeTint="BF"/>
              </w:rPr>
              <w:t xml:space="preserve">om staat de </w:t>
            </w:r>
            <w:r w:rsidRPr="004D7028">
              <w:rPr>
                <w:rFonts w:eastAsiaTheme="majorEastAsia"/>
                <w:color w:val="4B4B4B" w:themeColor="text2" w:themeTint="BF"/>
              </w:rPr>
              <w:t>bestaande tekst</w:t>
            </w:r>
            <w:r w:rsidR="00334D26" w:rsidRPr="004D7028">
              <w:rPr>
                <w:rFonts w:eastAsiaTheme="majorEastAsia"/>
                <w:color w:val="4B4B4B" w:themeColor="text2" w:themeTint="BF"/>
              </w:rPr>
              <w:t xml:space="preserve">, waarbij </w:t>
            </w:r>
            <w:r w:rsidRPr="004D7028">
              <w:rPr>
                <w:rFonts w:eastAsiaTheme="majorEastAsia"/>
                <w:color w:val="4B4B4B" w:themeColor="text2" w:themeTint="BF"/>
              </w:rPr>
              <w:t>de woorden die wijzigen</w:t>
            </w:r>
            <w:r w:rsidR="00803406" w:rsidRPr="004D7028">
              <w:rPr>
                <w:rFonts w:eastAsiaTheme="majorEastAsia"/>
                <w:color w:val="4B4B4B" w:themeColor="text2" w:themeTint="BF"/>
              </w:rPr>
              <w:t xml:space="preserve"> (</w:t>
            </w:r>
            <w:r w:rsidR="00334D26" w:rsidRPr="004D7028">
              <w:rPr>
                <w:rFonts w:eastAsiaTheme="majorEastAsia"/>
                <w:color w:val="4B4B4B" w:themeColor="text2" w:themeTint="BF"/>
              </w:rPr>
              <w:t xml:space="preserve">betreft alleen </w:t>
            </w:r>
            <w:r w:rsidR="00803406" w:rsidRPr="004D7028">
              <w:rPr>
                <w:rFonts w:eastAsiaTheme="majorEastAsia"/>
                <w:color w:val="4B4B4B" w:themeColor="text2" w:themeTint="BF"/>
              </w:rPr>
              <w:t xml:space="preserve">het eerste lid) </w:t>
            </w:r>
            <w:r w:rsidRPr="004D7028">
              <w:rPr>
                <w:rFonts w:eastAsiaTheme="majorEastAsia"/>
                <w:i/>
                <w:color w:val="4B4B4B" w:themeColor="text2" w:themeTint="BF"/>
              </w:rPr>
              <w:t>cursief</w:t>
            </w:r>
            <w:r w:rsidRPr="004D7028">
              <w:rPr>
                <w:rFonts w:eastAsiaTheme="majorEastAsia"/>
                <w:color w:val="4B4B4B" w:themeColor="text2" w:themeTint="BF"/>
              </w:rPr>
              <w:t xml:space="preserve"> </w:t>
            </w:r>
            <w:r w:rsidR="00334D26" w:rsidRPr="004D7028">
              <w:rPr>
                <w:rFonts w:eastAsiaTheme="majorEastAsia"/>
                <w:color w:val="4B4B4B" w:themeColor="text2" w:themeTint="BF"/>
              </w:rPr>
              <w:t xml:space="preserve">zijn </w:t>
            </w:r>
            <w:r w:rsidRPr="004D7028">
              <w:rPr>
                <w:rFonts w:eastAsiaTheme="majorEastAsia"/>
                <w:color w:val="4B4B4B" w:themeColor="text2" w:themeTint="BF"/>
              </w:rPr>
              <w:t>gezet. In de rechterkolom staat de nieuwe tekst.</w:t>
            </w:r>
            <w:r w:rsidRPr="004D7028">
              <w:rPr>
                <w:rFonts w:eastAsiaTheme="majorEastAsia"/>
                <w:b/>
                <w:bCs/>
                <w:color w:val="4B4B4B" w:themeColor="text2" w:themeTint="BF"/>
              </w:rPr>
              <w:t xml:space="preserve"> </w:t>
            </w:r>
          </w:p>
        </w:tc>
      </w:tr>
    </w:tbl>
    <w:p w14:paraId="08C1930B" w14:textId="77777777" w:rsidR="00A052E8" w:rsidRDefault="00A052E8" w:rsidP="004F059A">
      <w:pPr>
        <w:rPr>
          <w:rFonts w:eastAsiaTheme="majorEastAsia"/>
        </w:rPr>
      </w:pPr>
    </w:p>
    <w:p w14:paraId="6170A862" w14:textId="4104A892" w:rsidR="009C5F51" w:rsidRPr="00C66DAA" w:rsidRDefault="009C5F51" w:rsidP="009C5F51">
      <w:pPr>
        <w:rPr>
          <w:rFonts w:eastAsia="Calibri" w:cs="Arial"/>
          <w:bCs/>
        </w:rPr>
      </w:pPr>
      <w:r w:rsidRPr="00C66DAA">
        <w:rPr>
          <w:rFonts w:cs="Arial"/>
        </w:rPr>
        <w:t xml:space="preserve">Artikel </w:t>
      </w:r>
      <w:r>
        <w:rPr>
          <w:rFonts w:cs="Arial"/>
        </w:rPr>
        <w:t>2</w:t>
      </w:r>
      <w:r w:rsidRPr="00C66DAA">
        <w:rPr>
          <w:rFonts w:cs="Arial"/>
        </w:rPr>
        <w:t>:</w:t>
      </w:r>
      <w:r>
        <w:rPr>
          <w:rFonts w:cs="Arial"/>
        </w:rPr>
        <w:t>79</w:t>
      </w:r>
      <w:r w:rsidRPr="00C66DAA">
        <w:rPr>
          <w:rFonts w:cs="Arial"/>
        </w:rPr>
        <w:t xml:space="preserve"> </w:t>
      </w:r>
      <w:r w:rsidRPr="00C66DAA">
        <w:rPr>
          <w:rFonts w:eastAsia="Calibri" w:cs="Arial"/>
          <w:bCs/>
        </w:rPr>
        <w:t>(artikel I</w:t>
      </w:r>
      <w:r w:rsidR="00C97FDB">
        <w:rPr>
          <w:rFonts w:eastAsia="Calibri" w:cs="Arial"/>
          <w:bCs/>
        </w:rPr>
        <w:t xml:space="preserve"> </w:t>
      </w:r>
      <w:r w:rsidRPr="00C66DAA">
        <w:rPr>
          <w:rFonts w:eastAsia="Calibri" w:cs="Arial"/>
          <w:bCs/>
        </w:rPr>
        <w:t>van het wijzigingsbesluit) wordt als volgt gewijzigd:</w:t>
      </w:r>
    </w:p>
    <w:p w14:paraId="14CA7A1D" w14:textId="77777777" w:rsidR="00A052E8" w:rsidRDefault="00A052E8" w:rsidP="004F059A">
      <w:pPr>
        <w:rPr>
          <w:rFonts w:eastAsiaTheme="majorEastAsia"/>
        </w:rPr>
      </w:pPr>
    </w:p>
    <w:tbl>
      <w:tblPr>
        <w:tblStyle w:val="VNGtabelmiddenblauw"/>
        <w:tblW w:w="0" w:type="auto"/>
        <w:tblLook w:val="04A0" w:firstRow="1" w:lastRow="0" w:firstColumn="1" w:lastColumn="0" w:noHBand="0" w:noVBand="1"/>
      </w:tblPr>
      <w:tblGrid>
        <w:gridCol w:w="4584"/>
        <w:gridCol w:w="4584"/>
      </w:tblGrid>
      <w:tr w:rsidR="00E2511B" w14:paraId="3E6A5298" w14:textId="77777777" w:rsidTr="00E2511B">
        <w:trPr>
          <w:cnfStyle w:val="100000000000" w:firstRow="1" w:lastRow="0" w:firstColumn="0" w:lastColumn="0" w:oddVBand="0" w:evenVBand="0" w:oddHBand="0" w:evenHBand="0" w:firstRowFirstColumn="0" w:firstRowLastColumn="0" w:lastRowFirstColumn="0" w:lastRowLastColumn="0"/>
        </w:trPr>
        <w:tc>
          <w:tcPr>
            <w:tcW w:w="4584" w:type="dxa"/>
          </w:tcPr>
          <w:p w14:paraId="5FB244C5" w14:textId="718C0500" w:rsidR="00E2511B" w:rsidRDefault="00803406" w:rsidP="004F059A">
            <w:pPr>
              <w:rPr>
                <w:rFonts w:eastAsiaTheme="majorEastAsia"/>
              </w:rPr>
            </w:pPr>
            <w:r>
              <w:rPr>
                <w:rFonts w:eastAsiaTheme="majorEastAsia"/>
              </w:rPr>
              <w:t>Bestaande tekst</w:t>
            </w:r>
          </w:p>
        </w:tc>
        <w:tc>
          <w:tcPr>
            <w:tcW w:w="4584" w:type="dxa"/>
          </w:tcPr>
          <w:p w14:paraId="55051102" w14:textId="08A1E8A3" w:rsidR="00E2511B" w:rsidRDefault="00803406" w:rsidP="004F059A">
            <w:pPr>
              <w:rPr>
                <w:rFonts w:eastAsiaTheme="majorEastAsia"/>
              </w:rPr>
            </w:pPr>
            <w:r>
              <w:rPr>
                <w:rFonts w:eastAsiaTheme="majorEastAsia"/>
              </w:rPr>
              <w:t>Nieuwe tekst</w:t>
            </w:r>
          </w:p>
        </w:tc>
      </w:tr>
      <w:tr w:rsidR="00E2511B" w14:paraId="212D12CC" w14:textId="77777777" w:rsidTr="00E2511B">
        <w:tc>
          <w:tcPr>
            <w:tcW w:w="4584" w:type="dxa"/>
          </w:tcPr>
          <w:p w14:paraId="46170631" w14:textId="77777777" w:rsidR="00E2511B" w:rsidRPr="00E2511B" w:rsidRDefault="00E2511B" w:rsidP="00E2511B">
            <w:pPr>
              <w:rPr>
                <w:rFonts w:eastAsiaTheme="majorEastAsia"/>
                <w:b/>
                <w:bCs/>
                <w:iCs/>
              </w:rPr>
            </w:pPr>
            <w:r w:rsidRPr="00E2511B">
              <w:rPr>
                <w:rFonts w:eastAsiaTheme="majorEastAsia"/>
                <w:b/>
                <w:bCs/>
                <w:iCs/>
              </w:rPr>
              <w:t>Artikel 2:79 Woonoverlast als bedoeld in artikel 151d Gemeentewet</w:t>
            </w:r>
          </w:p>
          <w:p w14:paraId="7C555BD1" w14:textId="77777777" w:rsidR="00E2511B" w:rsidRPr="00E2511B" w:rsidRDefault="00E2511B" w:rsidP="00E2511B">
            <w:pPr>
              <w:rPr>
                <w:rFonts w:eastAsiaTheme="majorEastAsia"/>
                <w:iCs/>
              </w:rPr>
            </w:pPr>
            <w:r w:rsidRPr="00E2511B">
              <w:rPr>
                <w:rFonts w:eastAsiaTheme="majorEastAsia"/>
                <w:iCs/>
              </w:rPr>
              <w:t xml:space="preserve">1. Degene die een woning of een bij die woning behorend erf gebruikt of tegen betaling in gebruik geeft </w:t>
            </w:r>
            <w:r w:rsidRPr="00E2511B">
              <w:rPr>
                <w:rFonts w:eastAsiaTheme="majorEastAsia"/>
                <w:i/>
              </w:rPr>
              <w:t>aan een persoon die niet als ingezetene met een adres in de gemeente in de basisregistratie personen is ingeschreven</w:t>
            </w:r>
            <w:r w:rsidRPr="00E2511B">
              <w:rPr>
                <w:rFonts w:eastAsiaTheme="majorEastAsia"/>
                <w:iCs/>
              </w:rPr>
              <w:t>, draagt er zorg voor dat door gedragingen in of vanuit die woning of dat erf of in de onmiddellijke nabijheid van die woning of dat erf geen ernstige en herhaaldelijke hinder voor omwonenden wordt veroorzaakt.</w:t>
            </w:r>
          </w:p>
          <w:p w14:paraId="71B04ED8" w14:textId="77777777" w:rsidR="00E2511B" w:rsidRPr="00E2511B" w:rsidRDefault="00E2511B" w:rsidP="00E2511B">
            <w:pPr>
              <w:rPr>
                <w:rFonts w:eastAsiaTheme="majorEastAsia"/>
                <w:i/>
                <w:iCs/>
              </w:rPr>
            </w:pPr>
            <w:r w:rsidRPr="00E2511B">
              <w:rPr>
                <w:rFonts w:eastAsiaTheme="majorEastAsia"/>
                <w:iCs/>
              </w:rPr>
              <w:t>2. De burgemeester kan een last onder bestuursdwang wegens overtreding van het eerste lid</w:t>
            </w:r>
            <w:r w:rsidRPr="00E2511B">
              <w:rPr>
                <w:rFonts w:eastAsiaTheme="majorEastAsia"/>
                <w:i/>
                <w:iCs/>
              </w:rPr>
              <w:t xml:space="preserve"> </w:t>
            </w:r>
            <w:r w:rsidRPr="00E2511B">
              <w:rPr>
                <w:rFonts w:eastAsiaTheme="majorEastAsia"/>
                <w:iCs/>
              </w:rPr>
              <w:t>in ieder geval</w:t>
            </w:r>
            <w:r w:rsidRPr="00E2511B">
              <w:rPr>
                <w:rFonts w:eastAsiaTheme="majorEastAsia"/>
                <w:i/>
                <w:iCs/>
              </w:rPr>
              <w:t xml:space="preserve"> </w:t>
            </w:r>
            <w:r w:rsidRPr="00E2511B">
              <w:rPr>
                <w:rFonts w:eastAsiaTheme="majorEastAsia"/>
                <w:iCs/>
              </w:rPr>
              <w:t>opleggen</w:t>
            </w:r>
            <w:r w:rsidRPr="00E2511B">
              <w:rPr>
                <w:rFonts w:eastAsiaTheme="majorEastAsia"/>
                <w:i/>
                <w:iCs/>
              </w:rPr>
              <w:t xml:space="preserve"> </w:t>
            </w:r>
            <w:r w:rsidRPr="00E2511B">
              <w:rPr>
                <w:rFonts w:eastAsiaTheme="majorEastAsia"/>
                <w:iCs/>
              </w:rPr>
              <w:t xml:space="preserve">bij ernstige en herhaaldelijke: </w:t>
            </w:r>
          </w:p>
          <w:p w14:paraId="13CDA04B"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a. geluid- of geurhinder;</w:t>
            </w:r>
            <w:r w:rsidRPr="00E2511B">
              <w:rPr>
                <w:rFonts w:eastAsiaTheme="majorEastAsia"/>
                <w:iCs/>
              </w:rPr>
              <w:t>]</w:t>
            </w:r>
          </w:p>
          <w:p w14:paraId="528B1F68"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b. hinder van dieren;</w:t>
            </w:r>
            <w:r w:rsidRPr="00E2511B">
              <w:rPr>
                <w:rFonts w:eastAsiaTheme="majorEastAsia"/>
                <w:iCs/>
              </w:rPr>
              <w:t>]</w:t>
            </w:r>
          </w:p>
          <w:p w14:paraId="3E40C188"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c. hinder van bezoekers of personen die tijdelijk in een woning of op een erf aanwezig zijn;</w:t>
            </w:r>
            <w:r w:rsidRPr="00E2511B">
              <w:rPr>
                <w:rFonts w:eastAsiaTheme="majorEastAsia"/>
                <w:iCs/>
              </w:rPr>
              <w:t>]</w:t>
            </w:r>
          </w:p>
          <w:p w14:paraId="554D55B2"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d. overlast door vervuiling of verwaarlozing van een woning of een erf;</w:t>
            </w:r>
            <w:r w:rsidRPr="00E2511B">
              <w:rPr>
                <w:rFonts w:eastAsiaTheme="majorEastAsia"/>
                <w:iCs/>
              </w:rPr>
              <w:t>]</w:t>
            </w:r>
          </w:p>
          <w:p w14:paraId="12DD7EF5"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e. intimidatie van derden vanuit een woning of een erf; of</w:t>
            </w:r>
            <w:r w:rsidRPr="00E2511B">
              <w:rPr>
                <w:rFonts w:eastAsiaTheme="majorEastAsia"/>
                <w:iCs/>
              </w:rPr>
              <w:t>]</w:t>
            </w:r>
          </w:p>
          <w:p w14:paraId="0FEF5508" w14:textId="73A262A4" w:rsidR="00E2511B" w:rsidRPr="00E2511B" w:rsidRDefault="00E2511B" w:rsidP="004F059A">
            <w:pPr>
              <w:rPr>
                <w:rFonts w:eastAsiaTheme="majorEastAsia"/>
                <w:iCs/>
              </w:rPr>
            </w:pPr>
            <w:r w:rsidRPr="00E2511B">
              <w:rPr>
                <w:rFonts w:eastAsiaTheme="majorEastAsia"/>
                <w:iCs/>
              </w:rPr>
              <w:t>[</w:t>
            </w:r>
            <w:r w:rsidRPr="00E2511B">
              <w:rPr>
                <w:rFonts w:eastAsiaTheme="majorEastAsia"/>
                <w:i/>
                <w:iCs/>
              </w:rPr>
              <w:t>f. [</w:t>
            </w:r>
            <w:r w:rsidRPr="00E2511B">
              <w:rPr>
                <w:rFonts w:eastAsiaTheme="majorEastAsia"/>
                <w:b/>
                <w:i/>
                <w:iCs/>
              </w:rPr>
              <w:t>…</w:t>
            </w:r>
            <w:r w:rsidRPr="00E2511B">
              <w:rPr>
                <w:rFonts w:eastAsiaTheme="majorEastAsia"/>
                <w:i/>
                <w:iCs/>
              </w:rPr>
              <w:t>].</w:t>
            </w:r>
            <w:r w:rsidRPr="00E2511B">
              <w:rPr>
                <w:rFonts w:eastAsiaTheme="majorEastAsia"/>
                <w:iCs/>
              </w:rPr>
              <w:t>]</w:t>
            </w:r>
          </w:p>
        </w:tc>
        <w:tc>
          <w:tcPr>
            <w:tcW w:w="4584" w:type="dxa"/>
          </w:tcPr>
          <w:p w14:paraId="54F6AEBB" w14:textId="77777777" w:rsidR="00E2511B" w:rsidRPr="00E2511B" w:rsidRDefault="00E2511B" w:rsidP="00E2511B">
            <w:pPr>
              <w:rPr>
                <w:rFonts w:eastAsiaTheme="majorEastAsia"/>
                <w:b/>
                <w:bCs/>
                <w:iCs/>
              </w:rPr>
            </w:pPr>
            <w:r w:rsidRPr="00E2511B">
              <w:rPr>
                <w:rFonts w:eastAsiaTheme="majorEastAsia"/>
                <w:b/>
                <w:bCs/>
                <w:iCs/>
              </w:rPr>
              <w:t>Artikel 2:79 Woonoverlast als bedoeld in artikel 151d Gemeentewet</w:t>
            </w:r>
          </w:p>
          <w:p w14:paraId="169A2D15" w14:textId="4AD47EAE" w:rsidR="00E2511B" w:rsidRPr="00E2511B" w:rsidRDefault="00E2511B" w:rsidP="00E2511B">
            <w:pPr>
              <w:rPr>
                <w:rFonts w:eastAsiaTheme="majorEastAsia"/>
                <w:iCs/>
              </w:rPr>
            </w:pPr>
            <w:bookmarkStart w:id="0" w:name="_Hlk81215244"/>
            <w:r w:rsidRPr="00E2511B">
              <w:rPr>
                <w:rFonts w:eastAsiaTheme="majorEastAsia"/>
                <w:iCs/>
              </w:rPr>
              <w:t>1. Degene die een woning of een bij die woning behorend erf gebruikt of tegen betaling in gebruik geeft, draagt er zorg voor dat door gedragingen in of vanuit die woning of dat erf of in de onmiddellijke nabijheid van die woning of dat erf geen ernstige en herhaaldelijke hinder voor omwonenden wordt veroorzaakt.</w:t>
            </w:r>
            <w:bookmarkEnd w:id="0"/>
          </w:p>
          <w:p w14:paraId="618BBEEC" w14:textId="77777777" w:rsidR="00E2511B" w:rsidRDefault="00E2511B" w:rsidP="00E2511B">
            <w:pPr>
              <w:rPr>
                <w:rFonts w:eastAsiaTheme="majorEastAsia"/>
                <w:iCs/>
              </w:rPr>
            </w:pPr>
          </w:p>
          <w:p w14:paraId="2902943D" w14:textId="77777777" w:rsidR="00E2511B" w:rsidRDefault="00E2511B" w:rsidP="00E2511B">
            <w:pPr>
              <w:rPr>
                <w:rFonts w:eastAsiaTheme="majorEastAsia"/>
                <w:iCs/>
              </w:rPr>
            </w:pPr>
          </w:p>
          <w:p w14:paraId="33C02D63" w14:textId="49284597" w:rsidR="00E2511B" w:rsidRPr="00E2511B" w:rsidRDefault="00E2511B" w:rsidP="00E2511B">
            <w:pPr>
              <w:rPr>
                <w:rFonts w:eastAsiaTheme="majorEastAsia"/>
                <w:i/>
                <w:iCs/>
              </w:rPr>
            </w:pPr>
            <w:r w:rsidRPr="00E2511B">
              <w:rPr>
                <w:rFonts w:eastAsiaTheme="majorEastAsia"/>
                <w:iCs/>
              </w:rPr>
              <w:t>2. De burgemeester kan een last onder bestuursdwang wegens overtreding van het eerste lid</w:t>
            </w:r>
            <w:r w:rsidRPr="00E2511B">
              <w:rPr>
                <w:rFonts w:eastAsiaTheme="majorEastAsia"/>
                <w:i/>
                <w:iCs/>
              </w:rPr>
              <w:t xml:space="preserve"> </w:t>
            </w:r>
            <w:r w:rsidRPr="00E2511B">
              <w:rPr>
                <w:rFonts w:eastAsiaTheme="majorEastAsia"/>
                <w:iCs/>
              </w:rPr>
              <w:t>in ieder geval</w:t>
            </w:r>
            <w:r w:rsidRPr="00E2511B">
              <w:rPr>
                <w:rFonts w:eastAsiaTheme="majorEastAsia"/>
                <w:i/>
                <w:iCs/>
              </w:rPr>
              <w:t xml:space="preserve"> </w:t>
            </w:r>
            <w:r w:rsidRPr="00E2511B">
              <w:rPr>
                <w:rFonts w:eastAsiaTheme="majorEastAsia"/>
                <w:iCs/>
              </w:rPr>
              <w:t>opleggen</w:t>
            </w:r>
            <w:r w:rsidRPr="00E2511B">
              <w:rPr>
                <w:rFonts w:eastAsiaTheme="majorEastAsia"/>
                <w:i/>
                <w:iCs/>
              </w:rPr>
              <w:t xml:space="preserve"> </w:t>
            </w:r>
            <w:r w:rsidRPr="00E2511B">
              <w:rPr>
                <w:rFonts w:eastAsiaTheme="majorEastAsia"/>
                <w:iCs/>
              </w:rPr>
              <w:t xml:space="preserve">bij ernstige en herhaaldelijke: </w:t>
            </w:r>
          </w:p>
          <w:p w14:paraId="6E99EFA0"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a. geluid- of geurhinder;</w:t>
            </w:r>
            <w:r w:rsidRPr="00E2511B">
              <w:rPr>
                <w:rFonts w:eastAsiaTheme="majorEastAsia"/>
                <w:iCs/>
              </w:rPr>
              <w:t>]</w:t>
            </w:r>
          </w:p>
          <w:p w14:paraId="228AC3F7"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b. hinder van dieren;</w:t>
            </w:r>
            <w:r w:rsidRPr="00E2511B">
              <w:rPr>
                <w:rFonts w:eastAsiaTheme="majorEastAsia"/>
                <w:iCs/>
              </w:rPr>
              <w:t>]</w:t>
            </w:r>
          </w:p>
          <w:p w14:paraId="408C9181"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c. hinder van bezoekers of personen die tijdelijk in een woning of op een erf aanwezig zijn;</w:t>
            </w:r>
            <w:r w:rsidRPr="00E2511B">
              <w:rPr>
                <w:rFonts w:eastAsiaTheme="majorEastAsia"/>
                <w:iCs/>
              </w:rPr>
              <w:t>]</w:t>
            </w:r>
          </w:p>
          <w:p w14:paraId="6BB6D33C"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d. overlast door vervuiling of verwaarlozing van een woning of een erf;</w:t>
            </w:r>
            <w:r w:rsidRPr="00E2511B">
              <w:rPr>
                <w:rFonts w:eastAsiaTheme="majorEastAsia"/>
                <w:iCs/>
              </w:rPr>
              <w:t>]</w:t>
            </w:r>
          </w:p>
          <w:p w14:paraId="5FD288AD" w14:textId="77777777" w:rsidR="00E2511B" w:rsidRPr="00E2511B" w:rsidRDefault="00E2511B" w:rsidP="00E2511B">
            <w:pPr>
              <w:rPr>
                <w:rFonts w:eastAsiaTheme="majorEastAsia"/>
                <w:i/>
                <w:iCs/>
              </w:rPr>
            </w:pPr>
            <w:r w:rsidRPr="00E2511B">
              <w:rPr>
                <w:rFonts w:eastAsiaTheme="majorEastAsia"/>
                <w:iCs/>
              </w:rPr>
              <w:t>[</w:t>
            </w:r>
            <w:r w:rsidRPr="00E2511B">
              <w:rPr>
                <w:rFonts w:eastAsiaTheme="majorEastAsia"/>
                <w:i/>
                <w:iCs/>
              </w:rPr>
              <w:t>e. intimidatie van derden vanuit een woning of een erf; of</w:t>
            </w:r>
            <w:r w:rsidRPr="00E2511B">
              <w:rPr>
                <w:rFonts w:eastAsiaTheme="majorEastAsia"/>
                <w:iCs/>
              </w:rPr>
              <w:t>]</w:t>
            </w:r>
          </w:p>
          <w:p w14:paraId="2AD233A2" w14:textId="77777777" w:rsidR="00E2511B" w:rsidRPr="00E2511B" w:rsidRDefault="00E2511B" w:rsidP="00E2511B">
            <w:pPr>
              <w:rPr>
                <w:rFonts w:eastAsiaTheme="majorEastAsia"/>
                <w:iCs/>
              </w:rPr>
            </w:pPr>
            <w:r w:rsidRPr="00E2511B">
              <w:rPr>
                <w:rFonts w:eastAsiaTheme="majorEastAsia"/>
                <w:iCs/>
              </w:rPr>
              <w:t>[</w:t>
            </w:r>
            <w:r w:rsidRPr="00E2511B">
              <w:rPr>
                <w:rFonts w:eastAsiaTheme="majorEastAsia"/>
                <w:i/>
                <w:iCs/>
              </w:rPr>
              <w:t>f. [</w:t>
            </w:r>
            <w:r w:rsidRPr="00E2511B">
              <w:rPr>
                <w:rFonts w:eastAsiaTheme="majorEastAsia"/>
                <w:b/>
                <w:i/>
                <w:iCs/>
              </w:rPr>
              <w:t>…</w:t>
            </w:r>
            <w:r w:rsidRPr="00E2511B">
              <w:rPr>
                <w:rFonts w:eastAsiaTheme="majorEastAsia"/>
                <w:i/>
                <w:iCs/>
              </w:rPr>
              <w:t>].</w:t>
            </w:r>
            <w:r w:rsidRPr="00E2511B">
              <w:rPr>
                <w:rFonts w:eastAsiaTheme="majorEastAsia"/>
                <w:iCs/>
              </w:rPr>
              <w:t>]</w:t>
            </w:r>
          </w:p>
          <w:p w14:paraId="6B9DD624" w14:textId="77777777" w:rsidR="00E2511B" w:rsidRDefault="00E2511B" w:rsidP="004F059A">
            <w:pPr>
              <w:rPr>
                <w:rFonts w:eastAsiaTheme="majorEastAsia"/>
              </w:rPr>
            </w:pPr>
          </w:p>
        </w:tc>
      </w:tr>
    </w:tbl>
    <w:p w14:paraId="77E08B4D" w14:textId="53076733" w:rsidR="003559E3" w:rsidRDefault="003559E3" w:rsidP="004F059A">
      <w:pPr>
        <w:rPr>
          <w:rFonts w:eastAsiaTheme="majorEastAsia"/>
        </w:rPr>
      </w:pPr>
    </w:p>
    <w:p w14:paraId="5E0EDECD" w14:textId="77777777" w:rsidR="00C97FDB" w:rsidRDefault="00C97FDB" w:rsidP="004F059A">
      <w:pPr>
        <w:rPr>
          <w:rFonts w:eastAsiaTheme="majorEastAsia"/>
        </w:rPr>
      </w:pPr>
    </w:p>
    <w:p w14:paraId="093412D6" w14:textId="4F5730E3" w:rsidR="004F059A" w:rsidRPr="00A052E8" w:rsidRDefault="00A052E8" w:rsidP="004F059A">
      <w:pPr>
        <w:rPr>
          <w:rFonts w:eastAsiaTheme="majorEastAsia"/>
          <w:b/>
          <w:bCs/>
          <w:sz w:val="24"/>
          <w:szCs w:val="24"/>
        </w:rPr>
      </w:pPr>
      <w:r w:rsidRPr="00A052E8">
        <w:rPr>
          <w:rFonts w:eastAsiaTheme="majorEastAsia"/>
          <w:b/>
          <w:bCs/>
          <w:sz w:val="24"/>
          <w:szCs w:val="24"/>
        </w:rPr>
        <w:t>T</w:t>
      </w:r>
      <w:r w:rsidR="005B0371" w:rsidRPr="00A052E8">
        <w:rPr>
          <w:rFonts w:eastAsiaTheme="majorEastAsia"/>
          <w:b/>
          <w:bCs/>
          <w:sz w:val="24"/>
          <w:szCs w:val="24"/>
        </w:rPr>
        <w:t>oelichting</w:t>
      </w:r>
    </w:p>
    <w:p w14:paraId="71A401C2" w14:textId="52CFA4B7" w:rsidR="005B0371" w:rsidRDefault="005B0371" w:rsidP="002C73D1">
      <w:pPr>
        <w:rPr>
          <w:rFonts w:eastAsiaTheme="majorEastAsia"/>
          <w:b/>
          <w:bCs/>
          <w:iCs/>
        </w:rPr>
      </w:pPr>
    </w:p>
    <w:p w14:paraId="02EEF573" w14:textId="421FF462" w:rsidR="008B36A5" w:rsidRDefault="00C97FDB" w:rsidP="002C73D1">
      <w:pPr>
        <w:rPr>
          <w:rFonts w:eastAsiaTheme="majorEastAsia"/>
          <w:b/>
          <w:bCs/>
          <w:iCs/>
        </w:rPr>
      </w:pPr>
      <w:r>
        <w:rPr>
          <w:rFonts w:eastAsiaTheme="majorEastAsia"/>
          <w:b/>
          <w:bCs/>
          <w:iCs/>
        </w:rPr>
        <w:t>Artikel 2:79 (ar</w:t>
      </w:r>
      <w:r w:rsidR="008B36A5">
        <w:rPr>
          <w:rFonts w:eastAsiaTheme="majorEastAsia"/>
          <w:b/>
          <w:bCs/>
          <w:iCs/>
        </w:rPr>
        <w:t>tikel I</w:t>
      </w:r>
      <w:r>
        <w:rPr>
          <w:rFonts w:eastAsiaTheme="majorEastAsia"/>
          <w:b/>
          <w:bCs/>
          <w:iCs/>
        </w:rPr>
        <w:t xml:space="preserve"> van het wijzigingsbesluit)</w:t>
      </w:r>
    </w:p>
    <w:p w14:paraId="13536C38" w14:textId="1B01D6EE" w:rsidR="003559E3" w:rsidRDefault="00A052E8" w:rsidP="002C73D1">
      <w:pPr>
        <w:rPr>
          <w:rFonts w:eastAsiaTheme="majorEastAsia"/>
          <w:iCs/>
        </w:rPr>
      </w:pPr>
      <w:r w:rsidRPr="00A052E8">
        <w:rPr>
          <w:rFonts w:eastAsiaTheme="majorEastAsia"/>
          <w:iCs/>
        </w:rPr>
        <w:t xml:space="preserve">In artikel 2:79 van </w:t>
      </w:r>
      <w:r w:rsidR="007D7E84">
        <w:rPr>
          <w:rFonts w:eastAsiaTheme="majorEastAsia"/>
          <w:iCs/>
        </w:rPr>
        <w:t xml:space="preserve">de </w:t>
      </w:r>
      <w:r w:rsidRPr="00A052E8">
        <w:rPr>
          <w:rFonts w:eastAsiaTheme="majorEastAsia"/>
          <w:iCs/>
        </w:rPr>
        <w:t xml:space="preserve">APV is een zorgplicht opgenomen voor gebruikers en verhuurders van woningen om geen ernstige en herhaaldelijke hinder voor omwonenden te veroorzaken. De burgemeester kan op grond hiervan gedragsaanwijzingen geven aan overlastgevers in zowel huur- als koopwoningen en aan verhuurders. Tot 1 januari 2021 was de gedragsaanwijzing aan verhuurders alleen mogelijk als de persoon die overlast gaf niet als ingezetene in de desbetreffende gemeente stond ingeschreven. Met de inwerkingtreding van de Wet toeristische verhuur van woonruimte (Stb. 2020, 460) op 1 januari 2021 is die beperking vervallen. </w:t>
      </w:r>
      <w:r>
        <w:rPr>
          <w:rFonts w:eastAsiaTheme="majorEastAsia"/>
          <w:iCs/>
        </w:rPr>
        <w:t xml:space="preserve">In verband hiermee is artikel 2:79 aangepast. </w:t>
      </w:r>
      <w:r w:rsidRPr="00A052E8">
        <w:rPr>
          <w:rFonts w:eastAsiaTheme="majorEastAsia"/>
          <w:iCs/>
        </w:rPr>
        <w:t xml:space="preserve">Om woonoverlast beter tegen </w:t>
      </w:r>
      <w:r w:rsidRPr="00A052E8">
        <w:rPr>
          <w:rFonts w:eastAsiaTheme="majorEastAsia"/>
          <w:iCs/>
        </w:rPr>
        <w:lastRenderedPageBreak/>
        <w:t xml:space="preserve">te gaan, </w:t>
      </w:r>
      <w:r>
        <w:rPr>
          <w:rFonts w:eastAsiaTheme="majorEastAsia"/>
          <w:iCs/>
        </w:rPr>
        <w:t xml:space="preserve">geldt </w:t>
      </w:r>
      <w:r w:rsidRPr="00A052E8">
        <w:rPr>
          <w:rFonts w:eastAsiaTheme="majorEastAsia"/>
          <w:iCs/>
        </w:rPr>
        <w:t xml:space="preserve">de zorgplicht </w:t>
      </w:r>
      <w:r>
        <w:rPr>
          <w:rFonts w:eastAsiaTheme="majorEastAsia"/>
          <w:iCs/>
        </w:rPr>
        <w:t xml:space="preserve">voortaan </w:t>
      </w:r>
      <w:r w:rsidR="007D7E84">
        <w:rPr>
          <w:rFonts w:eastAsiaTheme="majorEastAsia"/>
          <w:iCs/>
        </w:rPr>
        <w:t xml:space="preserve">in alle gevallen </w:t>
      </w:r>
      <w:r w:rsidRPr="00A052E8">
        <w:rPr>
          <w:rFonts w:eastAsiaTheme="majorEastAsia"/>
          <w:iCs/>
        </w:rPr>
        <w:t xml:space="preserve">voor verhuurders van woonruimten. Dat betekent dat verhuurders zorgdragen dat de woningen die zij verhuren geen ernstige en herhaaldelijke hinder veroorzaken. Als de verhuurder zich niet of op een verkeerde manier inzet tegen ernstige en herhaaldelijke hinder, kan de burgemeester direct een verhuurder aanspreken en hoeft de burgemeester daarvoor niet eerst de huurder te hebben aangesproken. Dit is wenselijk wanneer verschillende huurders van dezelfde verhuurder hinder hebben veroorzaakt. Dat kan bijvoorbeeld het geval zijn in panden waar meerdere huurders wonen of waar huurders snel wisselen. De burgemeester kan dan dus – als ultimum remedium – direct aan een verhuurder een last onder </w:t>
      </w:r>
      <w:r w:rsidR="00803406">
        <w:rPr>
          <w:rFonts w:eastAsiaTheme="majorEastAsia"/>
          <w:iCs/>
        </w:rPr>
        <w:t xml:space="preserve">bestuursdwang of </w:t>
      </w:r>
      <w:r w:rsidRPr="00A052E8">
        <w:rPr>
          <w:rFonts w:eastAsiaTheme="majorEastAsia"/>
          <w:iCs/>
        </w:rPr>
        <w:t>dwangsom opleggen.</w:t>
      </w:r>
    </w:p>
    <w:sectPr w:rsidR="003559E3" w:rsidSect="00E26D33">
      <w:headerReference w:type="even" r:id="rId8"/>
      <w:headerReference w:type="default" r:id="rId9"/>
      <w:footerReference w:type="even" r:id="rId10"/>
      <w:footerReference w:type="default" r:id="rId11"/>
      <w:headerReference w:type="first" r:id="rId12"/>
      <w:footerReference w:type="first" r:id="rId13"/>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9474" w14:textId="77777777" w:rsidR="00EC074E" w:rsidRDefault="00EC074E" w:rsidP="00A14B69">
      <w:r>
        <w:separator/>
      </w:r>
    </w:p>
    <w:p w14:paraId="3605D918" w14:textId="77777777" w:rsidR="00EC074E" w:rsidRDefault="00EC074E"/>
  </w:endnote>
  <w:endnote w:type="continuationSeparator" w:id="0">
    <w:p w14:paraId="010B2AB3" w14:textId="77777777" w:rsidR="00EC074E" w:rsidRDefault="00EC074E" w:rsidP="00A14B69">
      <w:r>
        <w:continuationSeparator/>
      </w:r>
    </w:p>
    <w:p w14:paraId="2471BA45" w14:textId="77777777" w:rsidR="00EC074E" w:rsidRDefault="00EC0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1ABE"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8122"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E302"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DC4D" w14:textId="77777777" w:rsidR="00EC074E" w:rsidRDefault="00EC074E">
      <w:r>
        <w:separator/>
      </w:r>
    </w:p>
  </w:footnote>
  <w:footnote w:type="continuationSeparator" w:id="0">
    <w:p w14:paraId="245489D8" w14:textId="77777777" w:rsidR="00EC074E" w:rsidRDefault="00EC074E" w:rsidP="00A14B69">
      <w:r>
        <w:continuationSeparator/>
      </w:r>
    </w:p>
    <w:p w14:paraId="5A38E0D5" w14:textId="77777777" w:rsidR="00EC074E" w:rsidRDefault="00EC0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AB6F"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0F"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8C01"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1FA602B"/>
    <w:multiLevelType w:val="hybridMultilevel"/>
    <w:tmpl w:val="49F22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3"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4"/>
  </w:num>
  <w:num w:numId="4">
    <w:abstractNumId w:val="18"/>
  </w:num>
  <w:num w:numId="5">
    <w:abstractNumId w:val="15"/>
  </w:num>
  <w:num w:numId="6">
    <w:abstractNumId w:val="13"/>
  </w:num>
  <w:num w:numId="7">
    <w:abstractNumId w:val="8"/>
  </w:num>
  <w:num w:numId="8">
    <w:abstractNumId w:val="29"/>
  </w:num>
  <w:num w:numId="9">
    <w:abstractNumId w:val="33"/>
  </w:num>
  <w:num w:numId="10">
    <w:abstractNumId w:val="25"/>
  </w:num>
  <w:num w:numId="11">
    <w:abstractNumId w:val="32"/>
  </w:num>
  <w:num w:numId="12">
    <w:abstractNumId w:val="26"/>
  </w:num>
  <w:num w:numId="13">
    <w:abstractNumId w:val="22"/>
  </w:num>
  <w:num w:numId="14">
    <w:abstractNumId w:val="6"/>
  </w:num>
  <w:num w:numId="15">
    <w:abstractNumId w:val="10"/>
  </w:num>
  <w:num w:numId="16">
    <w:abstractNumId w:val="36"/>
  </w:num>
  <w:num w:numId="17">
    <w:abstractNumId w:val="7"/>
  </w:num>
  <w:num w:numId="18">
    <w:abstractNumId w:val="0"/>
  </w:num>
  <w:num w:numId="19">
    <w:abstractNumId w:val="35"/>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2"/>
  </w:num>
  <w:num w:numId="28">
    <w:abstractNumId w:val="23"/>
  </w:num>
  <w:num w:numId="29">
    <w:abstractNumId w:val="43"/>
  </w:num>
  <w:num w:numId="30">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37"/>
  </w:num>
  <w:num w:numId="42">
    <w:abstractNumId w:val="40"/>
  </w:num>
  <w:num w:numId="43">
    <w:abstractNumId w:val="31"/>
  </w:num>
  <w:num w:numId="44">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 w:numId="47">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EC074E"/>
    <w:rsid w:val="000030E7"/>
    <w:rsid w:val="00003406"/>
    <w:rsid w:val="00004825"/>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F634C"/>
    <w:rsid w:val="000F79E7"/>
    <w:rsid w:val="0010038F"/>
    <w:rsid w:val="00100E85"/>
    <w:rsid w:val="00102134"/>
    <w:rsid w:val="00103E96"/>
    <w:rsid w:val="00104486"/>
    <w:rsid w:val="00106382"/>
    <w:rsid w:val="00106D6E"/>
    <w:rsid w:val="00112C92"/>
    <w:rsid w:val="00125AF7"/>
    <w:rsid w:val="00127743"/>
    <w:rsid w:val="00131602"/>
    <w:rsid w:val="00135AD1"/>
    <w:rsid w:val="00137633"/>
    <w:rsid w:val="00141F7B"/>
    <w:rsid w:val="001528A7"/>
    <w:rsid w:val="00163FAC"/>
    <w:rsid w:val="00174E34"/>
    <w:rsid w:val="0018092A"/>
    <w:rsid w:val="00182104"/>
    <w:rsid w:val="00187A46"/>
    <w:rsid w:val="00195082"/>
    <w:rsid w:val="001950DA"/>
    <w:rsid w:val="001A1D9D"/>
    <w:rsid w:val="001A40AE"/>
    <w:rsid w:val="001B050E"/>
    <w:rsid w:val="001B44F1"/>
    <w:rsid w:val="001B5B7B"/>
    <w:rsid w:val="001C5C7E"/>
    <w:rsid w:val="001E2B3A"/>
    <w:rsid w:val="001E4031"/>
    <w:rsid w:val="001F002E"/>
    <w:rsid w:val="001F594C"/>
    <w:rsid w:val="00200063"/>
    <w:rsid w:val="00200C5D"/>
    <w:rsid w:val="002037AD"/>
    <w:rsid w:val="0020541A"/>
    <w:rsid w:val="00207B7C"/>
    <w:rsid w:val="00212A5A"/>
    <w:rsid w:val="00216ED9"/>
    <w:rsid w:val="002255A0"/>
    <w:rsid w:val="00226DC3"/>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C73D1"/>
    <w:rsid w:val="002D5463"/>
    <w:rsid w:val="002E2DD0"/>
    <w:rsid w:val="002E48C4"/>
    <w:rsid w:val="002E5E90"/>
    <w:rsid w:val="002F41D6"/>
    <w:rsid w:val="00311205"/>
    <w:rsid w:val="00313F8B"/>
    <w:rsid w:val="003164E1"/>
    <w:rsid w:val="00317E5C"/>
    <w:rsid w:val="00321405"/>
    <w:rsid w:val="003225CA"/>
    <w:rsid w:val="00323D77"/>
    <w:rsid w:val="00334D26"/>
    <w:rsid w:val="00335DF2"/>
    <w:rsid w:val="00337AC2"/>
    <w:rsid w:val="00341465"/>
    <w:rsid w:val="003559E3"/>
    <w:rsid w:val="0036145B"/>
    <w:rsid w:val="00364256"/>
    <w:rsid w:val="003735FE"/>
    <w:rsid w:val="00380210"/>
    <w:rsid w:val="00381ED2"/>
    <w:rsid w:val="00383FC5"/>
    <w:rsid w:val="00385F7F"/>
    <w:rsid w:val="00386866"/>
    <w:rsid w:val="00390415"/>
    <w:rsid w:val="003975D1"/>
    <w:rsid w:val="003A3387"/>
    <w:rsid w:val="003A606D"/>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93DFA"/>
    <w:rsid w:val="004A0171"/>
    <w:rsid w:val="004C2111"/>
    <w:rsid w:val="004C47B7"/>
    <w:rsid w:val="004C59AD"/>
    <w:rsid w:val="004D3758"/>
    <w:rsid w:val="004D3CAA"/>
    <w:rsid w:val="004D66E3"/>
    <w:rsid w:val="004D7028"/>
    <w:rsid w:val="004D7B04"/>
    <w:rsid w:val="004E122E"/>
    <w:rsid w:val="004E4379"/>
    <w:rsid w:val="004E468C"/>
    <w:rsid w:val="004F059A"/>
    <w:rsid w:val="004F23FC"/>
    <w:rsid w:val="004F3A45"/>
    <w:rsid w:val="004F3CBF"/>
    <w:rsid w:val="004F6633"/>
    <w:rsid w:val="004F6D38"/>
    <w:rsid w:val="004F6F4A"/>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B0371"/>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55883"/>
    <w:rsid w:val="0065743E"/>
    <w:rsid w:val="006579A4"/>
    <w:rsid w:val="00663669"/>
    <w:rsid w:val="0066410B"/>
    <w:rsid w:val="00664143"/>
    <w:rsid w:val="00664332"/>
    <w:rsid w:val="006651FB"/>
    <w:rsid w:val="0068115C"/>
    <w:rsid w:val="00681994"/>
    <w:rsid w:val="00684A8A"/>
    <w:rsid w:val="00690065"/>
    <w:rsid w:val="00690DF9"/>
    <w:rsid w:val="006A6CCE"/>
    <w:rsid w:val="006A784D"/>
    <w:rsid w:val="006B21DE"/>
    <w:rsid w:val="006D0908"/>
    <w:rsid w:val="006D24F0"/>
    <w:rsid w:val="006E2FEC"/>
    <w:rsid w:val="006E568F"/>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4D42"/>
    <w:rsid w:val="007A52F1"/>
    <w:rsid w:val="007A5A66"/>
    <w:rsid w:val="007A7C74"/>
    <w:rsid w:val="007C008D"/>
    <w:rsid w:val="007C257B"/>
    <w:rsid w:val="007C75AF"/>
    <w:rsid w:val="007D433E"/>
    <w:rsid w:val="007D606D"/>
    <w:rsid w:val="007D7E84"/>
    <w:rsid w:val="007E1A9E"/>
    <w:rsid w:val="007E3377"/>
    <w:rsid w:val="007E6186"/>
    <w:rsid w:val="00803406"/>
    <w:rsid w:val="00812AE6"/>
    <w:rsid w:val="008130C7"/>
    <w:rsid w:val="00814DA3"/>
    <w:rsid w:val="008245C8"/>
    <w:rsid w:val="00824A0D"/>
    <w:rsid w:val="0083180E"/>
    <w:rsid w:val="008368F1"/>
    <w:rsid w:val="00840D22"/>
    <w:rsid w:val="0084293B"/>
    <w:rsid w:val="00845BF1"/>
    <w:rsid w:val="00853FDD"/>
    <w:rsid w:val="008655D3"/>
    <w:rsid w:val="008670BF"/>
    <w:rsid w:val="008759AB"/>
    <w:rsid w:val="00881F13"/>
    <w:rsid w:val="00885794"/>
    <w:rsid w:val="00887C9C"/>
    <w:rsid w:val="00897055"/>
    <w:rsid w:val="008A0990"/>
    <w:rsid w:val="008A45DE"/>
    <w:rsid w:val="008A4C56"/>
    <w:rsid w:val="008A68BF"/>
    <w:rsid w:val="008B36A5"/>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90DCB"/>
    <w:rsid w:val="009955EB"/>
    <w:rsid w:val="009A1457"/>
    <w:rsid w:val="009A264E"/>
    <w:rsid w:val="009A37E3"/>
    <w:rsid w:val="009A7DF6"/>
    <w:rsid w:val="009B1CAF"/>
    <w:rsid w:val="009B268C"/>
    <w:rsid w:val="009B308B"/>
    <w:rsid w:val="009B786A"/>
    <w:rsid w:val="009C24E4"/>
    <w:rsid w:val="009C3531"/>
    <w:rsid w:val="009C5F51"/>
    <w:rsid w:val="009C6BCE"/>
    <w:rsid w:val="009C7B84"/>
    <w:rsid w:val="009D09F1"/>
    <w:rsid w:val="009E1F22"/>
    <w:rsid w:val="009E276D"/>
    <w:rsid w:val="009E2F98"/>
    <w:rsid w:val="009E4B00"/>
    <w:rsid w:val="009E7680"/>
    <w:rsid w:val="009F028C"/>
    <w:rsid w:val="009F718F"/>
    <w:rsid w:val="009F7D61"/>
    <w:rsid w:val="00A052E8"/>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0EE2"/>
    <w:rsid w:val="00B2436E"/>
    <w:rsid w:val="00B2532F"/>
    <w:rsid w:val="00B35133"/>
    <w:rsid w:val="00B46008"/>
    <w:rsid w:val="00B463BC"/>
    <w:rsid w:val="00B53EF7"/>
    <w:rsid w:val="00B548E2"/>
    <w:rsid w:val="00B71278"/>
    <w:rsid w:val="00B83A80"/>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65AB"/>
    <w:rsid w:val="00C6754B"/>
    <w:rsid w:val="00C73421"/>
    <w:rsid w:val="00C747F8"/>
    <w:rsid w:val="00C77CF6"/>
    <w:rsid w:val="00C80825"/>
    <w:rsid w:val="00C8251D"/>
    <w:rsid w:val="00C90491"/>
    <w:rsid w:val="00C93843"/>
    <w:rsid w:val="00C9388A"/>
    <w:rsid w:val="00C97DAE"/>
    <w:rsid w:val="00C97FDB"/>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511B"/>
    <w:rsid w:val="00E26244"/>
    <w:rsid w:val="00E26D33"/>
    <w:rsid w:val="00E276E0"/>
    <w:rsid w:val="00E40266"/>
    <w:rsid w:val="00E4683A"/>
    <w:rsid w:val="00E52649"/>
    <w:rsid w:val="00E622A2"/>
    <w:rsid w:val="00E71B04"/>
    <w:rsid w:val="00E73322"/>
    <w:rsid w:val="00E814EB"/>
    <w:rsid w:val="00E96E89"/>
    <w:rsid w:val="00EA2B9D"/>
    <w:rsid w:val="00EA3DDC"/>
    <w:rsid w:val="00EB4FA1"/>
    <w:rsid w:val="00EB63D1"/>
    <w:rsid w:val="00EC00B9"/>
    <w:rsid w:val="00EC074E"/>
    <w:rsid w:val="00EC395C"/>
    <w:rsid w:val="00EC64C9"/>
    <w:rsid w:val="00ED188F"/>
    <w:rsid w:val="00EE7AD3"/>
    <w:rsid w:val="00EF0A3E"/>
    <w:rsid w:val="00EF2AE2"/>
    <w:rsid w:val="00F02A90"/>
    <w:rsid w:val="00F06C7F"/>
    <w:rsid w:val="00F11CCA"/>
    <w:rsid w:val="00F15E90"/>
    <w:rsid w:val="00F2122E"/>
    <w:rsid w:val="00F249CB"/>
    <w:rsid w:val="00F25FC4"/>
    <w:rsid w:val="00F35752"/>
    <w:rsid w:val="00F3704C"/>
    <w:rsid w:val="00F4212E"/>
    <w:rsid w:val="00F42C04"/>
    <w:rsid w:val="00F46F1B"/>
    <w:rsid w:val="00F51369"/>
    <w:rsid w:val="00F60EB4"/>
    <w:rsid w:val="00F6247F"/>
    <w:rsid w:val="00F64A48"/>
    <w:rsid w:val="00F6587D"/>
    <w:rsid w:val="00F675B1"/>
    <w:rsid w:val="00F724EE"/>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3D98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2511B"/>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character" w:styleId="Onopgelostemelding">
    <w:name w:val="Unresolved Mention"/>
    <w:basedOn w:val="Standaardalinea-lettertype"/>
    <w:uiPriority w:val="99"/>
    <w:semiHidden/>
    <w:unhideWhenUsed/>
    <w:rsid w:val="00EC074E"/>
    <w:rPr>
      <w:color w:val="605E5C"/>
      <w:shd w:val="clear" w:color="auto" w:fill="E1DFDD"/>
    </w:rPr>
  </w:style>
  <w:style w:type="table" w:customStyle="1" w:styleId="VNGtabelmiddenblauw1">
    <w:name w:val="VNG tabel midden blauw1"/>
    <w:basedOn w:val="VNGtabelgroen"/>
    <w:uiPriority w:val="99"/>
    <w:rsid w:val="003559E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838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89">
          <w:marLeft w:val="0"/>
          <w:marRight w:val="0"/>
          <w:marTop w:val="0"/>
          <w:marBottom w:val="0"/>
          <w:divBdr>
            <w:top w:val="none" w:sz="0" w:space="0" w:color="auto"/>
            <w:left w:val="none" w:sz="0" w:space="0" w:color="auto"/>
            <w:bottom w:val="none" w:sz="0" w:space="0" w:color="auto"/>
            <w:right w:val="none" w:sz="0" w:space="0" w:color="auto"/>
          </w:divBdr>
          <w:divsChild>
            <w:div w:id="171997922">
              <w:marLeft w:val="0"/>
              <w:marRight w:val="0"/>
              <w:marTop w:val="0"/>
              <w:marBottom w:val="1200"/>
              <w:divBdr>
                <w:top w:val="none" w:sz="0" w:space="0" w:color="auto"/>
                <w:left w:val="none" w:sz="0" w:space="0" w:color="auto"/>
                <w:bottom w:val="none" w:sz="0" w:space="0" w:color="auto"/>
                <w:right w:val="none" w:sz="0" w:space="0" w:color="auto"/>
              </w:divBdr>
              <w:divsChild>
                <w:div w:id="68382170">
                  <w:marLeft w:val="0"/>
                  <w:marRight w:val="0"/>
                  <w:marTop w:val="0"/>
                  <w:marBottom w:val="0"/>
                  <w:divBdr>
                    <w:top w:val="none" w:sz="0" w:space="0" w:color="auto"/>
                    <w:left w:val="none" w:sz="0" w:space="0" w:color="auto"/>
                    <w:bottom w:val="none" w:sz="0" w:space="0" w:color="auto"/>
                    <w:right w:val="none" w:sz="0" w:space="0" w:color="auto"/>
                  </w:divBdr>
                </w:div>
                <w:div w:id="2102023369">
                  <w:marLeft w:val="0"/>
                  <w:marRight w:val="0"/>
                  <w:marTop w:val="0"/>
                  <w:marBottom w:val="0"/>
                  <w:divBdr>
                    <w:top w:val="none" w:sz="0" w:space="0" w:color="auto"/>
                    <w:left w:val="none" w:sz="0" w:space="0" w:color="auto"/>
                    <w:bottom w:val="none" w:sz="0" w:space="0" w:color="auto"/>
                    <w:right w:val="none" w:sz="0" w:space="0" w:color="auto"/>
                  </w:divBdr>
                </w:div>
                <w:div w:id="1125273031">
                  <w:marLeft w:val="0"/>
                  <w:marRight w:val="0"/>
                  <w:marTop w:val="0"/>
                  <w:marBottom w:val="0"/>
                  <w:divBdr>
                    <w:top w:val="none" w:sz="0" w:space="0" w:color="auto"/>
                    <w:left w:val="none" w:sz="0" w:space="0" w:color="auto"/>
                    <w:bottom w:val="none" w:sz="0" w:space="0" w:color="auto"/>
                    <w:right w:val="none" w:sz="0" w:space="0" w:color="auto"/>
                  </w:divBdr>
                  <w:divsChild>
                    <w:div w:id="1366784524">
                      <w:marLeft w:val="0"/>
                      <w:marRight w:val="0"/>
                      <w:marTop w:val="0"/>
                      <w:marBottom w:val="240"/>
                      <w:divBdr>
                        <w:top w:val="none" w:sz="0" w:space="0" w:color="auto"/>
                        <w:left w:val="none" w:sz="0" w:space="0" w:color="auto"/>
                        <w:bottom w:val="none" w:sz="0" w:space="0" w:color="auto"/>
                        <w:right w:val="none" w:sz="0" w:space="0" w:color="auto"/>
                      </w:divBdr>
                    </w:div>
                  </w:divsChild>
                </w:div>
                <w:div w:id="14748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7880">
          <w:marLeft w:val="0"/>
          <w:marRight w:val="0"/>
          <w:marTop w:val="0"/>
          <w:marBottom w:val="0"/>
          <w:divBdr>
            <w:top w:val="none" w:sz="0" w:space="0" w:color="auto"/>
            <w:left w:val="none" w:sz="0" w:space="0" w:color="auto"/>
            <w:bottom w:val="none" w:sz="0" w:space="0" w:color="auto"/>
            <w:right w:val="none" w:sz="0" w:space="0" w:color="auto"/>
          </w:divBdr>
          <w:divsChild>
            <w:div w:id="17685019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62447717">
      <w:bodyDiv w:val="1"/>
      <w:marLeft w:val="0"/>
      <w:marRight w:val="0"/>
      <w:marTop w:val="0"/>
      <w:marBottom w:val="0"/>
      <w:divBdr>
        <w:top w:val="none" w:sz="0" w:space="0" w:color="auto"/>
        <w:left w:val="none" w:sz="0" w:space="0" w:color="auto"/>
        <w:bottom w:val="none" w:sz="0" w:space="0" w:color="auto"/>
        <w:right w:val="none" w:sz="0" w:space="0" w:color="auto"/>
      </w:divBdr>
      <w:divsChild>
        <w:div w:id="1631784101">
          <w:marLeft w:val="0"/>
          <w:marRight w:val="0"/>
          <w:marTop w:val="60"/>
          <w:marBottom w:val="60"/>
          <w:divBdr>
            <w:top w:val="none" w:sz="0" w:space="0" w:color="auto"/>
            <w:left w:val="none" w:sz="0" w:space="0" w:color="auto"/>
            <w:bottom w:val="none" w:sz="0" w:space="0" w:color="auto"/>
            <w:right w:val="none" w:sz="0" w:space="0" w:color="auto"/>
          </w:divBdr>
        </w:div>
      </w:divsChild>
    </w:div>
    <w:div w:id="1359698038">
      <w:bodyDiv w:val="1"/>
      <w:marLeft w:val="0"/>
      <w:marRight w:val="0"/>
      <w:marTop w:val="0"/>
      <w:marBottom w:val="0"/>
      <w:divBdr>
        <w:top w:val="none" w:sz="0" w:space="0" w:color="auto"/>
        <w:left w:val="none" w:sz="0" w:space="0" w:color="auto"/>
        <w:bottom w:val="none" w:sz="0" w:space="0" w:color="auto"/>
        <w:right w:val="none" w:sz="0" w:space="0" w:color="auto"/>
      </w:divBdr>
      <w:divsChild>
        <w:div w:id="530805113">
          <w:marLeft w:val="0"/>
          <w:marRight w:val="0"/>
          <w:marTop w:val="0"/>
          <w:marBottom w:val="0"/>
          <w:divBdr>
            <w:top w:val="none" w:sz="0" w:space="0" w:color="auto"/>
            <w:left w:val="none" w:sz="0" w:space="0" w:color="auto"/>
            <w:bottom w:val="none" w:sz="0" w:space="0" w:color="auto"/>
            <w:right w:val="none" w:sz="0" w:space="0" w:color="auto"/>
          </w:divBdr>
          <w:divsChild>
            <w:div w:id="1430346662">
              <w:marLeft w:val="0"/>
              <w:marRight w:val="0"/>
              <w:marTop w:val="0"/>
              <w:marBottom w:val="1200"/>
              <w:divBdr>
                <w:top w:val="none" w:sz="0" w:space="0" w:color="auto"/>
                <w:left w:val="none" w:sz="0" w:space="0" w:color="auto"/>
                <w:bottom w:val="none" w:sz="0" w:space="0" w:color="auto"/>
                <w:right w:val="none" w:sz="0" w:space="0" w:color="auto"/>
              </w:divBdr>
              <w:divsChild>
                <w:div w:id="595863921">
                  <w:marLeft w:val="0"/>
                  <w:marRight w:val="0"/>
                  <w:marTop w:val="0"/>
                  <w:marBottom w:val="0"/>
                  <w:divBdr>
                    <w:top w:val="none" w:sz="0" w:space="0" w:color="auto"/>
                    <w:left w:val="none" w:sz="0" w:space="0" w:color="auto"/>
                    <w:bottom w:val="none" w:sz="0" w:space="0" w:color="auto"/>
                    <w:right w:val="none" w:sz="0" w:space="0" w:color="auto"/>
                  </w:divBdr>
                </w:div>
                <w:div w:id="1859805758">
                  <w:marLeft w:val="0"/>
                  <w:marRight w:val="0"/>
                  <w:marTop w:val="0"/>
                  <w:marBottom w:val="0"/>
                  <w:divBdr>
                    <w:top w:val="none" w:sz="0" w:space="0" w:color="auto"/>
                    <w:left w:val="none" w:sz="0" w:space="0" w:color="auto"/>
                    <w:bottom w:val="none" w:sz="0" w:space="0" w:color="auto"/>
                    <w:right w:val="none" w:sz="0" w:space="0" w:color="auto"/>
                  </w:divBdr>
                </w:div>
                <w:div w:id="961574762">
                  <w:marLeft w:val="0"/>
                  <w:marRight w:val="0"/>
                  <w:marTop w:val="0"/>
                  <w:marBottom w:val="0"/>
                  <w:divBdr>
                    <w:top w:val="none" w:sz="0" w:space="0" w:color="auto"/>
                    <w:left w:val="none" w:sz="0" w:space="0" w:color="auto"/>
                    <w:bottom w:val="none" w:sz="0" w:space="0" w:color="auto"/>
                    <w:right w:val="none" w:sz="0" w:space="0" w:color="auto"/>
                  </w:divBdr>
                  <w:divsChild>
                    <w:div w:id="309553845">
                      <w:marLeft w:val="0"/>
                      <w:marRight w:val="0"/>
                      <w:marTop w:val="0"/>
                      <w:marBottom w:val="240"/>
                      <w:divBdr>
                        <w:top w:val="none" w:sz="0" w:space="0" w:color="auto"/>
                        <w:left w:val="none" w:sz="0" w:space="0" w:color="auto"/>
                        <w:bottom w:val="none" w:sz="0" w:space="0" w:color="auto"/>
                        <w:right w:val="none" w:sz="0" w:space="0" w:color="auto"/>
                      </w:divBdr>
                    </w:div>
                  </w:divsChild>
                </w:div>
                <w:div w:id="11094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5884">
          <w:marLeft w:val="0"/>
          <w:marRight w:val="0"/>
          <w:marTop w:val="0"/>
          <w:marBottom w:val="0"/>
          <w:divBdr>
            <w:top w:val="none" w:sz="0" w:space="0" w:color="auto"/>
            <w:left w:val="none" w:sz="0" w:space="0" w:color="auto"/>
            <w:bottom w:val="none" w:sz="0" w:space="0" w:color="auto"/>
            <w:right w:val="none" w:sz="0" w:space="0" w:color="auto"/>
          </w:divBdr>
          <w:divsChild>
            <w:div w:id="17540871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3838039">
      <w:bodyDiv w:val="1"/>
      <w:marLeft w:val="0"/>
      <w:marRight w:val="0"/>
      <w:marTop w:val="0"/>
      <w:marBottom w:val="0"/>
      <w:divBdr>
        <w:top w:val="none" w:sz="0" w:space="0" w:color="auto"/>
        <w:left w:val="none" w:sz="0" w:space="0" w:color="auto"/>
        <w:bottom w:val="none" w:sz="0" w:space="0" w:color="auto"/>
        <w:right w:val="none" w:sz="0" w:space="0" w:color="auto"/>
      </w:divBdr>
      <w:divsChild>
        <w:div w:id="79722847">
          <w:marLeft w:val="0"/>
          <w:marRight w:val="0"/>
          <w:marTop w:val="0"/>
          <w:marBottom w:val="0"/>
          <w:divBdr>
            <w:top w:val="none" w:sz="0" w:space="0" w:color="auto"/>
            <w:left w:val="none" w:sz="0" w:space="0" w:color="auto"/>
            <w:bottom w:val="none" w:sz="0" w:space="0" w:color="auto"/>
            <w:right w:val="none" w:sz="0" w:space="0" w:color="auto"/>
          </w:divBdr>
          <w:divsChild>
            <w:div w:id="2118795746">
              <w:marLeft w:val="0"/>
              <w:marRight w:val="0"/>
              <w:marTop w:val="0"/>
              <w:marBottom w:val="1200"/>
              <w:divBdr>
                <w:top w:val="none" w:sz="0" w:space="0" w:color="auto"/>
                <w:left w:val="none" w:sz="0" w:space="0" w:color="auto"/>
                <w:bottom w:val="none" w:sz="0" w:space="0" w:color="auto"/>
                <w:right w:val="none" w:sz="0" w:space="0" w:color="auto"/>
              </w:divBdr>
              <w:divsChild>
                <w:div w:id="325279851">
                  <w:marLeft w:val="0"/>
                  <w:marRight w:val="0"/>
                  <w:marTop w:val="0"/>
                  <w:marBottom w:val="0"/>
                  <w:divBdr>
                    <w:top w:val="none" w:sz="0" w:space="0" w:color="auto"/>
                    <w:left w:val="none" w:sz="0" w:space="0" w:color="auto"/>
                    <w:bottom w:val="none" w:sz="0" w:space="0" w:color="auto"/>
                    <w:right w:val="none" w:sz="0" w:space="0" w:color="auto"/>
                  </w:divBdr>
                </w:div>
                <w:div w:id="131598138">
                  <w:marLeft w:val="0"/>
                  <w:marRight w:val="0"/>
                  <w:marTop w:val="0"/>
                  <w:marBottom w:val="0"/>
                  <w:divBdr>
                    <w:top w:val="none" w:sz="0" w:space="0" w:color="auto"/>
                    <w:left w:val="none" w:sz="0" w:space="0" w:color="auto"/>
                    <w:bottom w:val="none" w:sz="0" w:space="0" w:color="auto"/>
                    <w:right w:val="none" w:sz="0" w:space="0" w:color="auto"/>
                  </w:divBdr>
                </w:div>
                <w:div w:id="163976810">
                  <w:marLeft w:val="0"/>
                  <w:marRight w:val="0"/>
                  <w:marTop w:val="0"/>
                  <w:marBottom w:val="0"/>
                  <w:divBdr>
                    <w:top w:val="none" w:sz="0" w:space="0" w:color="auto"/>
                    <w:left w:val="none" w:sz="0" w:space="0" w:color="auto"/>
                    <w:bottom w:val="none" w:sz="0" w:space="0" w:color="auto"/>
                    <w:right w:val="none" w:sz="0" w:space="0" w:color="auto"/>
                  </w:divBdr>
                  <w:divsChild>
                    <w:div w:id="1118455096">
                      <w:marLeft w:val="0"/>
                      <w:marRight w:val="0"/>
                      <w:marTop w:val="0"/>
                      <w:marBottom w:val="240"/>
                      <w:divBdr>
                        <w:top w:val="none" w:sz="0" w:space="0" w:color="auto"/>
                        <w:left w:val="none" w:sz="0" w:space="0" w:color="auto"/>
                        <w:bottom w:val="none" w:sz="0" w:space="0" w:color="auto"/>
                        <w:right w:val="none" w:sz="0" w:space="0" w:color="auto"/>
                      </w:divBdr>
                    </w:div>
                  </w:divsChild>
                </w:div>
                <w:div w:id="21246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5016">
          <w:marLeft w:val="0"/>
          <w:marRight w:val="0"/>
          <w:marTop w:val="0"/>
          <w:marBottom w:val="0"/>
          <w:divBdr>
            <w:top w:val="none" w:sz="0" w:space="0" w:color="auto"/>
            <w:left w:val="none" w:sz="0" w:space="0" w:color="auto"/>
            <w:bottom w:val="none" w:sz="0" w:space="0" w:color="auto"/>
            <w:right w:val="none" w:sz="0" w:space="0" w:color="auto"/>
          </w:divBdr>
          <w:divsChild>
            <w:div w:id="17842303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2</Pages>
  <Words>583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2021-09-01T09:51:00Z</dcterms:created>
  <dcterms:modified xsi:type="dcterms:W3CDTF">2021-09-01T12:53:00Z</dcterms:modified>
</cp:coreProperties>
</file>