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59636" w14:textId="77777777" w:rsidR="0017258A" w:rsidRDefault="00722538">
      <w:pPr>
        <w:pStyle w:val="Titel"/>
      </w:pPr>
      <w:r>
        <w:t xml:space="preserve"> Voorbeeld </w:t>
      </w:r>
      <w:r w:rsidR="0017258A">
        <w:t>Risicoanalyse corona</w:t>
      </w:r>
    </w:p>
    <w:p w14:paraId="69806590" w14:textId="77777777" w:rsidR="0017258A" w:rsidRDefault="00722538">
      <w:r>
        <w:rPr>
          <w:rFonts w:ascii="Arial" w:hAnsi="Arial" w:cs="Arial"/>
          <w:bCs/>
          <w:noProof/>
        </w:rPr>
        <w:t>Maart 2020</w:t>
      </w:r>
    </w:p>
    <w:p w14:paraId="7DC53E3E" w14:textId="77777777" w:rsidR="0017258A" w:rsidRDefault="0017258A">
      <w:pPr>
        <w:sectPr w:rsidR="0017258A">
          <w:pgSz w:w="11906" w:h="16838"/>
          <w:pgMar w:top="2155" w:right="851" w:bottom="1418" w:left="1418" w:header="709" w:footer="709" w:gutter="0"/>
          <w:cols w:space="708"/>
        </w:sectPr>
      </w:pPr>
    </w:p>
    <w:p w14:paraId="12F1D72C" w14:textId="77777777" w:rsidR="0017258A" w:rsidRDefault="0017258A">
      <w:r>
        <w:rPr>
          <w:rFonts w:ascii="Arial" w:hAnsi="Arial" w:cs="Arial"/>
          <w:bCs/>
          <w:noProof/>
        </w:rPr>
        <w:lastRenderedPageBreak/>
        <w:t>‎</w:t>
      </w:r>
      <w:sdt>
        <w:sdtPr>
          <w:alias w:val="START"/>
          <w:tag w:val=" mitStart START "/>
          <w:id w:val="1368024506"/>
          <w:lock w:val="contentLocked"/>
        </w:sdtPr>
        <w:sdtEndPr/>
        <w:sdtContent>
          <w:r>
            <w:rPr>
              <w:rFonts w:ascii="Arial" w:hAnsi="Arial" w:cs="Arial"/>
            </w:rPr>
            <w:t>‎</w:t>
          </w:r>
        </w:sdtContent>
      </w:sdt>
    </w:p>
    <w:p w14:paraId="62D87631" w14:textId="77777777" w:rsidR="0017258A" w:rsidRDefault="0017258A"/>
    <w:p w14:paraId="253B3362" w14:textId="722F421C" w:rsidR="0017258A" w:rsidRDefault="0017258A">
      <w:r>
        <w:t>Als gevolg van de coronavirus is een separate risicoanalyse opgesteld. Deze is vanuit meerder</w:t>
      </w:r>
      <w:r w:rsidR="00526372">
        <w:t>e</w:t>
      </w:r>
      <w:r>
        <w:t xml:space="preserve"> invalshoeken ingestoken. Top-down en bottom-up.</w:t>
      </w:r>
    </w:p>
    <w:p w14:paraId="6B2EFA8F" w14:textId="77777777" w:rsidR="0017258A" w:rsidRDefault="0017258A"/>
    <w:p w14:paraId="044F367D" w14:textId="77777777" w:rsidR="0017258A" w:rsidRDefault="0017258A">
      <w:r>
        <w:t>Vanuit landelijk  beleid naar effect op de gemeentelijke organisatie en vanuit taak(velden) naar effect op de gemeenteorganisatie.</w:t>
      </w:r>
    </w:p>
    <w:p w14:paraId="6DEA1AAC" w14:textId="77777777" w:rsidR="0017258A" w:rsidRDefault="0017258A"/>
    <w:p w14:paraId="490E1A57" w14:textId="77777777" w:rsidR="0017258A" w:rsidRDefault="0017258A">
      <w:pPr>
        <w:rPr>
          <w:b/>
          <w:u w:val="single"/>
        </w:rPr>
      </w:pPr>
      <w:r>
        <w:rPr>
          <w:b/>
          <w:u w:val="single"/>
        </w:rPr>
        <w:t>Algemeen</w:t>
      </w:r>
    </w:p>
    <w:p w14:paraId="3D155E23" w14:textId="597E474F" w:rsidR="0017258A" w:rsidRDefault="0017258A">
      <w:r>
        <w:t>In deze fase van “paniek” zal de neiging bestaan om de focus te leggen op de waan van de dag (reageren). Ad hoc werkzaamheden krijgen de voorrang. Het is ook belangrijk een v</w:t>
      </w:r>
      <w:r w:rsidR="00526372">
        <w:t xml:space="preserve">erwachting </w:t>
      </w:r>
      <w:r>
        <w:t>te maken v</w:t>
      </w:r>
      <w:r w:rsidR="00526372">
        <w:t>oor</w:t>
      </w:r>
      <w:r>
        <w:t xml:space="preserve"> de komende maanden,</w:t>
      </w:r>
      <w:r w:rsidR="00526372">
        <w:t xml:space="preserve"> gezien de te verwachten</w:t>
      </w:r>
      <w:r>
        <w:t xml:space="preserve"> uitdagingen </w:t>
      </w:r>
      <w:bookmarkStart w:id="0" w:name="_GoBack"/>
      <w:bookmarkEnd w:id="0"/>
      <w:r>
        <w:t xml:space="preserve">(anticiperen). </w:t>
      </w:r>
    </w:p>
    <w:p w14:paraId="77C93915" w14:textId="77777777" w:rsidR="0017258A" w:rsidRDefault="0017258A"/>
    <w:p w14:paraId="7D9FC8B2" w14:textId="77777777" w:rsidR="0017258A" w:rsidRDefault="0017258A">
      <w:r>
        <w:t>Vanuit deze redenatie en analyse de volgende adviezen aan de afdelingen:</w:t>
      </w:r>
    </w:p>
    <w:p w14:paraId="75E34E6B" w14:textId="77777777" w:rsidR="0017258A" w:rsidRDefault="0017258A">
      <w:pPr>
        <w:rPr>
          <w:b/>
        </w:rPr>
      </w:pPr>
    </w:p>
    <w:p w14:paraId="2C446585" w14:textId="77777777" w:rsidR="0017258A" w:rsidRDefault="0017258A">
      <w:pPr>
        <w:ind w:left="708"/>
        <w:rPr>
          <w:b/>
        </w:rPr>
      </w:pPr>
      <w:r>
        <w:rPr>
          <w:b/>
        </w:rPr>
        <w:t>Reageren</w:t>
      </w:r>
    </w:p>
    <w:p w14:paraId="56F76287" w14:textId="77777777" w:rsidR="0017258A" w:rsidRDefault="0017258A" w:rsidP="0017258A">
      <w:pPr>
        <w:pStyle w:val="Lijstalinea"/>
        <w:numPr>
          <w:ilvl w:val="0"/>
          <w:numId w:val="48"/>
        </w:numPr>
      </w:pPr>
      <w:r>
        <w:t>Inventariseer incidentele uitdagingen op dit moment</w:t>
      </w:r>
    </w:p>
    <w:p w14:paraId="6B8BAC42" w14:textId="77777777" w:rsidR="0017258A" w:rsidRDefault="0017258A" w:rsidP="0017258A">
      <w:pPr>
        <w:pStyle w:val="Lijstalinea"/>
        <w:numPr>
          <w:ilvl w:val="0"/>
          <w:numId w:val="48"/>
        </w:numPr>
      </w:pPr>
      <w:r>
        <w:t>Stel scenario’s/verwachtingen op voor de komende maanden</w:t>
      </w:r>
    </w:p>
    <w:p w14:paraId="685C4A4C" w14:textId="77777777" w:rsidR="0017258A" w:rsidRDefault="0017258A" w:rsidP="0017258A">
      <w:pPr>
        <w:pStyle w:val="Lijstalinea"/>
        <w:numPr>
          <w:ilvl w:val="0"/>
          <w:numId w:val="48"/>
        </w:numPr>
      </w:pPr>
      <w:r>
        <w:t>Bepaal welke inzet nodig is voor de taken op de korte termijn (wat is noodzakelijk en wat is wenselijk)</w:t>
      </w:r>
    </w:p>
    <w:p w14:paraId="379B3C39" w14:textId="77777777" w:rsidR="0017258A" w:rsidRDefault="0017258A">
      <w:pPr>
        <w:pStyle w:val="Lijstalinea"/>
        <w:ind w:left="720"/>
        <w:rPr>
          <w:b/>
        </w:rPr>
      </w:pPr>
      <w:r>
        <w:rPr>
          <w:b/>
        </w:rPr>
        <w:t>Anticiperen</w:t>
      </w:r>
    </w:p>
    <w:p w14:paraId="59621EC9" w14:textId="77777777" w:rsidR="0017258A" w:rsidRDefault="0017258A" w:rsidP="0017258A">
      <w:pPr>
        <w:pStyle w:val="Lijstalinea"/>
        <w:numPr>
          <w:ilvl w:val="0"/>
          <w:numId w:val="48"/>
        </w:numPr>
      </w:pPr>
      <w:r>
        <w:t>Bepaal welke acties uitgezet/opgestart moeten worden om klaar te zijn voor de komende maanden.</w:t>
      </w:r>
    </w:p>
    <w:p w14:paraId="2443FB2F" w14:textId="77777777" w:rsidR="0017258A" w:rsidRDefault="0017258A" w:rsidP="0017258A">
      <w:pPr>
        <w:pStyle w:val="Lijstalinea"/>
        <w:numPr>
          <w:ilvl w:val="0"/>
          <w:numId w:val="48"/>
        </w:numPr>
      </w:pPr>
      <w:r>
        <w:t>Bepaal welke medewerkers aan de gang gaan met het “klaarzetten” van de situatie in komende maanden.</w:t>
      </w:r>
    </w:p>
    <w:p w14:paraId="5F07FEB5" w14:textId="77777777" w:rsidR="0017258A" w:rsidRDefault="0017258A" w:rsidP="0017258A">
      <w:pPr>
        <w:pStyle w:val="Lijstalinea"/>
        <w:numPr>
          <w:ilvl w:val="0"/>
          <w:numId w:val="48"/>
        </w:numPr>
      </w:pPr>
      <w:r>
        <w:t>Zorg dat de acties op dit moment al zoveel mogelijk aansluiten/voorbereiden op de komende situatie.</w:t>
      </w:r>
    </w:p>
    <w:p w14:paraId="50C34E47" w14:textId="77777777" w:rsidR="0017258A" w:rsidRDefault="0017258A">
      <w:pPr>
        <w:pStyle w:val="Lijstalinea"/>
        <w:ind w:left="720"/>
        <w:rPr>
          <w:b/>
        </w:rPr>
      </w:pPr>
      <w:r>
        <w:rPr>
          <w:b/>
        </w:rPr>
        <w:t>Integraliteit</w:t>
      </w:r>
    </w:p>
    <w:p w14:paraId="6F9EE28A" w14:textId="77777777" w:rsidR="0017258A" w:rsidRDefault="0017258A" w:rsidP="0017258A">
      <w:pPr>
        <w:pStyle w:val="Lijstalinea"/>
        <w:numPr>
          <w:ilvl w:val="0"/>
          <w:numId w:val="48"/>
        </w:numPr>
      </w:pPr>
      <w:r>
        <w:t>Capaciteitsbeslag op verschillende functies zal de komende maanden snel gaan verschuiven. Zorg dat op basis van voorgaande analyses in beeld is welke capaciteit “ vrij” is in de fasen en stel deze beschikbaar aan de andere afdelingen/processen.</w:t>
      </w:r>
    </w:p>
    <w:p w14:paraId="3D65C5CA" w14:textId="77777777" w:rsidR="0017258A" w:rsidRDefault="0017258A"/>
    <w:p w14:paraId="0461A164" w14:textId="77777777" w:rsidR="0017258A" w:rsidRDefault="0017258A">
      <w:r>
        <w:t>Op basis van de uitgebreide analyse (</w:t>
      </w:r>
      <w:proofErr w:type="spellStart"/>
      <w:r>
        <w:t>excel</w:t>
      </w:r>
      <w:proofErr w:type="spellEnd"/>
      <w:r>
        <w:t>) op de taakvelden zijn verwachte effecten en acties beschreven. De activiteiten in een aantal taakvelden zal stil vallen en bij een aantal taakvelden zal die toenemen.</w:t>
      </w:r>
    </w:p>
    <w:p w14:paraId="307925FD" w14:textId="77777777" w:rsidR="0017258A" w:rsidRDefault="0017258A"/>
    <w:p w14:paraId="32B31847" w14:textId="77777777" w:rsidR="0017258A" w:rsidRDefault="0017258A">
      <w:r>
        <w:t>Nadere toelichting maatregelen risico’s met risico met een hoge kans van voorkomen:</w:t>
      </w:r>
    </w:p>
    <w:p w14:paraId="1BB72C91" w14:textId="77777777" w:rsidR="0017258A" w:rsidRDefault="0017258A"/>
    <w:p w14:paraId="5D35892C" w14:textId="77777777" w:rsidR="0017258A" w:rsidRDefault="0017258A">
      <w:pPr>
        <w:rPr>
          <w:b/>
          <w:u w:val="single"/>
        </w:rPr>
      </w:pPr>
      <w:r>
        <w:rPr>
          <w:b/>
          <w:u w:val="single"/>
        </w:rPr>
        <w:t>ICT beschikbaarheid en bijkomende risico’s (risico 2 &amp; 3)</w:t>
      </w:r>
    </w:p>
    <w:p w14:paraId="69DC364C" w14:textId="77777777" w:rsidR="0017258A" w:rsidRDefault="0017258A">
      <w:r>
        <w:t>De druk op de capaciteit zal toenemen, maar lijkt op dit moment nog geen probleem. Het is wel belangrijk dat er wordt nagedacht dat deze druk langere tijd aan kan houden en dat downtime veel inefficiëntie tot gevolg zal hebben.</w:t>
      </w:r>
    </w:p>
    <w:p w14:paraId="401BEF3B" w14:textId="77777777" w:rsidR="0017258A" w:rsidRDefault="0017258A"/>
    <w:p w14:paraId="0AB57A50" w14:textId="77777777" w:rsidR="0017258A" w:rsidRDefault="0017258A">
      <w:r>
        <w:t xml:space="preserve">Daarnaast moet er rekening worden gehouden dat er nog steeds gehackt kan worden. Toegang tot informatie tot </w:t>
      </w:r>
      <w:proofErr w:type="spellStart"/>
      <w:r>
        <w:t>randsomware</w:t>
      </w:r>
      <w:proofErr w:type="spellEnd"/>
      <w:r>
        <w:t>. Door het grotere gebruik van externe toegang kan dit risico toenemen. De aandacht in deze fase zal voornamelijk uitgaan naar het beschikbaar houden van capaciteit, waardoor dit risico minder aandacht krijgt. De kans zal beperkt zijn, maar de gevolgen zeer groot.</w:t>
      </w:r>
    </w:p>
    <w:p w14:paraId="6F21F44D" w14:textId="77777777" w:rsidR="0017258A" w:rsidRDefault="0017258A">
      <w:pPr>
        <w:rPr>
          <w:b/>
          <w:u w:val="single"/>
        </w:rPr>
      </w:pPr>
      <w:r>
        <w:rPr>
          <w:b/>
          <w:u w:val="single"/>
        </w:rPr>
        <w:t>Besluit tijdelijke ondersteuning zelfstandigen (risico 28 &amp; 29)</w:t>
      </w:r>
    </w:p>
    <w:p w14:paraId="04A61261" w14:textId="77777777" w:rsidR="0017258A" w:rsidRDefault="0017258A">
      <w:pPr>
        <w:jc w:val="both"/>
      </w:pPr>
      <w:r>
        <w:lastRenderedPageBreak/>
        <w:t>Verwacht wordt dat er een enorme toename zal zijn aan aanvragen om afgewikkeld te worden. Landelijk beleid moet vertaald worden naar lokaal beleid. Systemen moeten ingericht worden, aanvragen ingediend en gecontroleerd en beschikkingen afgegeven. Daarnaast moeten deze worden uitbetaald.</w:t>
      </w:r>
    </w:p>
    <w:p w14:paraId="721BD5FF" w14:textId="77777777" w:rsidR="0017258A" w:rsidRDefault="0017258A"/>
    <w:p w14:paraId="30ED91C5" w14:textId="77777777" w:rsidR="0017258A" w:rsidRDefault="0017258A">
      <w:r>
        <w:t>De beschikbare capaciteit zal onvoldoende zijn om al deze aanvragen tijdig te beoordelen. Mogelijk kan capaciteit worden gevonden op andere afdelingen waar activiteiten verminderen of die stil vallen. VTH, KCC, backoffice MD.</w:t>
      </w:r>
    </w:p>
    <w:p w14:paraId="24FE0F68" w14:textId="77777777" w:rsidR="0017258A" w:rsidRDefault="0017258A"/>
    <w:p w14:paraId="41A1BE48" w14:textId="77777777" w:rsidR="0017258A" w:rsidRDefault="0017258A">
      <w:r>
        <w:t xml:space="preserve">De overheid geeft aan dat gemeenten gecompenseerd gaan worden voor kosten voor uitkering en uitvoering. </w:t>
      </w:r>
      <w:hyperlink r:id="rId8" w:history="1">
        <w:r>
          <w:rPr>
            <w:rStyle w:val="Hyperlink"/>
          </w:rPr>
          <w:t>https://www.rijksoverheid.nl/onderwerpen/zelfstandigen-zonder-personeel-zzp/extra-tijdelijke-ondersteuning-voor-zzp-ers</w:t>
        </w:r>
      </w:hyperlink>
      <w:r>
        <w:t>. Het is daarom belangrijk om direct te beginnen met het goed inrichten van de verschillende onderdelen, zodat verantwoording achteraf eenvoudig is en de gemeente geen kosten voor eigen rekening hoeft te nemen.</w:t>
      </w:r>
    </w:p>
    <w:p w14:paraId="750D9E27" w14:textId="77777777" w:rsidR="0017258A" w:rsidRDefault="0017258A"/>
    <w:p w14:paraId="267941BE" w14:textId="77777777" w:rsidR="0017258A" w:rsidRDefault="0017258A">
      <w:pPr>
        <w:rPr>
          <w:b/>
          <w:u w:val="single"/>
        </w:rPr>
      </w:pPr>
      <w:r>
        <w:rPr>
          <w:b/>
          <w:u w:val="single"/>
        </w:rPr>
        <w:t>Sociaal domein</w:t>
      </w:r>
    </w:p>
    <w:p w14:paraId="14DBEE5E" w14:textId="77777777" w:rsidR="0017258A" w:rsidRDefault="0017258A">
      <w:r>
        <w:t xml:space="preserve">Ten aanzien van het sociaal domein bestaan verschillende effecten. Een aantal taakvelden komt stil te staan of wordt de invulling anders. Bij een aantal taakvelden zal er de komende maanden een verschuiving zijn van de aard van de werkzaamheden. </w:t>
      </w:r>
    </w:p>
    <w:p w14:paraId="5454458B" w14:textId="77777777" w:rsidR="0017258A" w:rsidRDefault="0017258A"/>
    <w:p w14:paraId="3FFCC495" w14:textId="77777777" w:rsidR="0017258A" w:rsidRDefault="0017258A" w:rsidP="0017258A">
      <w:pPr>
        <w:pStyle w:val="Lijstalinea"/>
        <w:numPr>
          <w:ilvl w:val="0"/>
          <w:numId w:val="48"/>
        </w:numPr>
      </w:pPr>
      <w:r>
        <w:t xml:space="preserve">Onderwijs (beleid en </w:t>
      </w:r>
      <w:proofErr w:type="spellStart"/>
      <w:r>
        <w:t>leerlingzaken</w:t>
      </w:r>
      <w:proofErr w:type="spellEnd"/>
      <w:r>
        <w:t>): activiteiten zullen afnemen en/of anders worden</w:t>
      </w:r>
    </w:p>
    <w:p w14:paraId="5F0E4EDC" w14:textId="77777777" w:rsidR="0017258A" w:rsidRDefault="0017258A" w:rsidP="0017258A">
      <w:pPr>
        <w:pStyle w:val="Lijstalinea"/>
        <w:numPr>
          <w:ilvl w:val="0"/>
          <w:numId w:val="48"/>
        </w:numPr>
      </w:pPr>
      <w:r>
        <w:t>Sportbeleid en activering: deze zullen grotendeels stil komen te liggen</w:t>
      </w:r>
    </w:p>
    <w:p w14:paraId="42F439BE" w14:textId="77777777" w:rsidR="0017258A" w:rsidRDefault="0017258A" w:rsidP="0017258A">
      <w:pPr>
        <w:pStyle w:val="Lijstalinea"/>
        <w:numPr>
          <w:ilvl w:val="0"/>
          <w:numId w:val="48"/>
        </w:numPr>
      </w:pPr>
      <w:r>
        <w:t>Cultuur en musea: hier zal met name een goede afstemming moeten zijn tussen beleidsmedewerkers en instellingen. Wat doet de overheid en wat is het effect op de organisaties en de gemeentelijke (bijdrage).</w:t>
      </w:r>
    </w:p>
    <w:p w14:paraId="2E58167A" w14:textId="77777777" w:rsidR="0017258A" w:rsidRDefault="0017258A"/>
    <w:p w14:paraId="046301BE" w14:textId="77777777" w:rsidR="0017258A" w:rsidRDefault="0017258A">
      <w:pPr>
        <w:rPr>
          <w:b/>
        </w:rPr>
      </w:pPr>
      <w:r>
        <w:rPr>
          <w:b/>
        </w:rPr>
        <w:t>WMO en jeugdzorg</w:t>
      </w:r>
    </w:p>
    <w:p w14:paraId="65468B12" w14:textId="77777777" w:rsidR="0017258A" w:rsidRDefault="0017258A"/>
    <w:p w14:paraId="5E522274" w14:textId="77777777" w:rsidR="0017258A" w:rsidRDefault="0017258A">
      <w:pPr>
        <w:rPr>
          <w:i/>
          <w:u w:val="single"/>
        </w:rPr>
      </w:pPr>
      <w:r>
        <w:rPr>
          <w:i/>
          <w:u w:val="single"/>
        </w:rPr>
        <w:t>Huidige situatie</w:t>
      </w:r>
    </w:p>
    <w:p w14:paraId="1000B215" w14:textId="77777777" w:rsidR="0017258A" w:rsidRDefault="0017258A" w:rsidP="0017258A">
      <w:pPr>
        <w:pStyle w:val="Lijstalinea"/>
        <w:numPr>
          <w:ilvl w:val="0"/>
          <w:numId w:val="48"/>
        </w:numPr>
      </w:pPr>
      <w:r>
        <w:t>Er zullen nu een aantal acute situaties ontstaan die het gevolg zijn van het niet handelen van zorgpartijen.</w:t>
      </w:r>
    </w:p>
    <w:p w14:paraId="05BC7F5D" w14:textId="77777777" w:rsidR="0017258A" w:rsidRDefault="0017258A" w:rsidP="0017258A">
      <w:pPr>
        <w:pStyle w:val="Lijstalinea"/>
        <w:numPr>
          <w:ilvl w:val="0"/>
          <w:numId w:val="48"/>
        </w:numPr>
      </w:pPr>
      <w:r>
        <w:t>Door het thuis blijven zullen mogelijk eerder conflict situaties of vereenzaming ontstaan.</w:t>
      </w:r>
    </w:p>
    <w:p w14:paraId="2B6EBAF3" w14:textId="77777777" w:rsidR="0017258A" w:rsidRDefault="0017258A" w:rsidP="0017258A">
      <w:pPr>
        <w:pStyle w:val="Lijstalinea"/>
        <w:numPr>
          <w:ilvl w:val="0"/>
          <w:numId w:val="48"/>
        </w:numPr>
      </w:pPr>
      <w:r>
        <w:t>Mogelijk neemt het aantal reguliere aantal aanvragen af</w:t>
      </w:r>
    </w:p>
    <w:p w14:paraId="5206BD8A" w14:textId="77777777" w:rsidR="0017258A" w:rsidRDefault="0017258A" w:rsidP="0017258A">
      <w:pPr>
        <w:pStyle w:val="Lijstalinea"/>
        <w:numPr>
          <w:ilvl w:val="0"/>
          <w:numId w:val="48"/>
        </w:numPr>
      </w:pPr>
      <w:r>
        <w:t>Consulenten zullen minder contact hebben met bestaande cliënten.</w:t>
      </w:r>
    </w:p>
    <w:p w14:paraId="67A238FD" w14:textId="77777777" w:rsidR="0017258A" w:rsidRDefault="0017258A" w:rsidP="0017258A">
      <w:pPr>
        <w:pStyle w:val="Lijstalinea"/>
        <w:numPr>
          <w:ilvl w:val="0"/>
          <w:numId w:val="48"/>
        </w:numPr>
      </w:pPr>
      <w:r>
        <w:t>Er zijn minder keukentafel gesprekken, waardoor mogelijk ook het aantal af te geven beschikkingen zal dalen.</w:t>
      </w:r>
    </w:p>
    <w:p w14:paraId="5571244A" w14:textId="77777777" w:rsidR="0017258A" w:rsidRDefault="0017258A" w:rsidP="0017258A">
      <w:pPr>
        <w:pStyle w:val="Lijstalinea"/>
        <w:numPr>
          <w:ilvl w:val="0"/>
          <w:numId w:val="48"/>
        </w:numPr>
      </w:pPr>
      <w:r>
        <w:t>Backoffice heeft minder beschikkingen te verwerken.</w:t>
      </w:r>
    </w:p>
    <w:p w14:paraId="708A17AD" w14:textId="77777777" w:rsidR="0017258A" w:rsidRDefault="0017258A">
      <w:pPr>
        <w:rPr>
          <w:i/>
          <w:u w:val="single"/>
        </w:rPr>
      </w:pPr>
      <w:r>
        <w:rPr>
          <w:i/>
          <w:u w:val="single"/>
        </w:rPr>
        <w:t>Komende situatie</w:t>
      </w:r>
    </w:p>
    <w:p w14:paraId="7CBB3E28" w14:textId="77777777" w:rsidR="0017258A" w:rsidRDefault="0017258A" w:rsidP="0017258A">
      <w:pPr>
        <w:pStyle w:val="Lijstalinea"/>
        <w:numPr>
          <w:ilvl w:val="0"/>
          <w:numId w:val="48"/>
        </w:numPr>
      </w:pPr>
      <w:r>
        <w:t>De verschuiving in de huidige situatie geeft mogelijk een boeggolf voor na deze situatie. Het is dan belangrijk dat de medewerkers klaar zijn voor wat gaat komen. Werkprocessen, procedures en instructies moeten dan klaar staan om snel en effectief te kunnen handelen. Het is dus essentieel dat er nu alvast op de komende situatie wordt geanticipeerd.</w:t>
      </w:r>
    </w:p>
    <w:p w14:paraId="364C7D8B" w14:textId="77777777" w:rsidR="0017258A" w:rsidRDefault="0017258A" w:rsidP="0017258A">
      <w:pPr>
        <w:pStyle w:val="Lijstalinea"/>
        <w:numPr>
          <w:ilvl w:val="0"/>
          <w:numId w:val="48"/>
        </w:numPr>
      </w:pPr>
      <w:r>
        <w:t>Deze verwachten moeten samen met beleid worden bepaald om zo ook de vertaling te kunnen maken naar de vastgestelde doelstellingen en uitgangspunten, zodat deze kunnen worden gemonitord en tijdig kan worden bijgesteld.</w:t>
      </w:r>
    </w:p>
    <w:p w14:paraId="2F78FE76" w14:textId="77777777" w:rsidR="0017258A" w:rsidRDefault="0017258A">
      <w:pPr>
        <w:rPr>
          <w:b/>
        </w:rPr>
      </w:pPr>
      <w:r>
        <w:rPr>
          <w:b/>
        </w:rPr>
        <w:t>Fysiek domein</w:t>
      </w:r>
    </w:p>
    <w:p w14:paraId="4FC6BAD9" w14:textId="77777777" w:rsidR="0017258A" w:rsidRDefault="0017258A">
      <w:r>
        <w:t>In het fysieke domein zijn er ook verschillende verwachtingen ten aanzien van risico’s en kansen.</w:t>
      </w:r>
    </w:p>
    <w:p w14:paraId="15FB09B3" w14:textId="77777777" w:rsidR="0017258A" w:rsidRDefault="0017258A"/>
    <w:p w14:paraId="5AAFDCF6" w14:textId="77777777" w:rsidR="0017258A" w:rsidRDefault="0017258A" w:rsidP="0017258A">
      <w:pPr>
        <w:pStyle w:val="Lijstalinea"/>
        <w:numPr>
          <w:ilvl w:val="0"/>
          <w:numId w:val="48"/>
        </w:numPr>
      </w:pPr>
      <w:r>
        <w:lastRenderedPageBreak/>
        <w:t>Op een aantal onderdelen in programma 3, economie (ontwikkeling &amp; promotie) zullen activiteiten stil vallen. Er moet hier gekeken worden naar wat wij als gemeente in het kader van ondersteuning kunnen en willen doen. Er ligt hier een kans voor capaciteit.</w:t>
      </w:r>
    </w:p>
    <w:p w14:paraId="27BCA767" w14:textId="77777777" w:rsidR="0017258A" w:rsidRDefault="0017258A" w:rsidP="0017258A">
      <w:pPr>
        <w:pStyle w:val="Lijstalinea"/>
        <w:numPr>
          <w:ilvl w:val="0"/>
          <w:numId w:val="48"/>
        </w:numPr>
      </w:pPr>
      <w:r>
        <w:t>Financieel technisch zullen de grondexploitaties mogelijk vertraging op gaan lopen, omdat potentiële kopers af haken. Er moet een inschatting worden gemaakt van deze effecten.</w:t>
      </w:r>
    </w:p>
    <w:p w14:paraId="0B6EF2B0" w14:textId="77777777" w:rsidR="0017258A" w:rsidRDefault="0017258A" w:rsidP="0017258A">
      <w:pPr>
        <w:pStyle w:val="Lijstalinea"/>
        <w:numPr>
          <w:ilvl w:val="0"/>
          <w:numId w:val="48"/>
        </w:numPr>
      </w:pPr>
      <w:r>
        <w:t>Bij openbaar groen ligt misschien een kans om tijdelijk de werkzaamheden net iets anders in te vullen en daar capaciteit vrij te spelen voor bijvoorbeeld handhaving.</w:t>
      </w:r>
    </w:p>
    <w:p w14:paraId="3A60FC5D" w14:textId="77777777" w:rsidR="0017258A" w:rsidRDefault="0017258A" w:rsidP="0017258A">
      <w:pPr>
        <w:pStyle w:val="Lijstalinea"/>
        <w:numPr>
          <w:ilvl w:val="0"/>
          <w:numId w:val="48"/>
        </w:numPr>
      </w:pPr>
      <w:r>
        <w:t xml:space="preserve">Bij wonen en bouwen (bouwvergunningen) zullen de activiteiten mogelijk ook gaan afnemen door bovenstaand punt ten aanzien van de </w:t>
      </w:r>
      <w:proofErr w:type="spellStart"/>
      <w:r>
        <w:t>grexen</w:t>
      </w:r>
      <w:proofErr w:type="spellEnd"/>
      <w:r>
        <w:t>. Financieel zal dit mogelijk ook gevolgen hebben.</w:t>
      </w:r>
    </w:p>
    <w:p w14:paraId="35BE5EFE" w14:textId="77777777" w:rsidR="0017258A" w:rsidRDefault="0017258A">
      <w:pPr>
        <w:pStyle w:val="Lijstalinea"/>
        <w:ind w:left="720"/>
      </w:pPr>
    </w:p>
    <w:p w14:paraId="634EFCA1" w14:textId="77777777" w:rsidR="0017258A" w:rsidRDefault="0017258A">
      <w:pPr>
        <w:rPr>
          <w:b/>
        </w:rPr>
      </w:pPr>
      <w:r>
        <w:rPr>
          <w:b/>
        </w:rPr>
        <w:t>Advies</w:t>
      </w:r>
    </w:p>
    <w:p w14:paraId="683E9BD4" w14:textId="77777777" w:rsidR="0017258A" w:rsidRDefault="0017258A">
      <w:r>
        <w:t>Op basis van deze en de uitgebreide analyse stel ik de volgende maatregelen voor:</w:t>
      </w:r>
    </w:p>
    <w:p w14:paraId="44ED1112" w14:textId="77777777" w:rsidR="0017258A" w:rsidRDefault="0017258A"/>
    <w:p w14:paraId="55B4BF72" w14:textId="77777777" w:rsidR="0017258A" w:rsidRDefault="0017258A" w:rsidP="00990AC4">
      <w:pPr>
        <w:pStyle w:val="Lijstalinea"/>
        <w:numPr>
          <w:ilvl w:val="0"/>
          <w:numId w:val="49"/>
        </w:numPr>
      </w:pPr>
      <w:r>
        <w:t xml:space="preserve">Stel een medewerker aan die alle ontwikkelingen bij houdt en deze vertaalt naar de organisatie </w:t>
      </w:r>
    </w:p>
    <w:p w14:paraId="12216570" w14:textId="77777777" w:rsidR="0017258A" w:rsidRDefault="0017258A" w:rsidP="00990AC4">
      <w:pPr>
        <w:pStyle w:val="Lijstalinea"/>
        <w:numPr>
          <w:ilvl w:val="0"/>
          <w:numId w:val="49"/>
        </w:numPr>
      </w:pPr>
      <w:r>
        <w:t xml:space="preserve">Cluster een aantal deelgebieden die veel relaties met elkaar hebben en stel daar een coördinator voor aan. De coördinator vertaalt de nieuwe ontwikkelingen naar de betreffende afdelingen en medewerkers en monitort de voortgang. </w:t>
      </w:r>
    </w:p>
    <w:p w14:paraId="263D382E" w14:textId="77777777" w:rsidR="0017258A" w:rsidRDefault="0017258A" w:rsidP="00001EA2">
      <w:pPr>
        <w:pStyle w:val="Lijstalinea"/>
        <w:numPr>
          <w:ilvl w:val="0"/>
          <w:numId w:val="49"/>
        </w:numPr>
      </w:pPr>
      <w:r>
        <w:t xml:space="preserve">Zet iemand op de faciliteiten. De belangrijkste zijn inkopen en ICT. </w:t>
      </w:r>
    </w:p>
    <w:p w14:paraId="15A102EC" w14:textId="77777777" w:rsidR="0017258A" w:rsidRDefault="0017258A" w:rsidP="00001EA2">
      <w:pPr>
        <w:pStyle w:val="Lijstalinea"/>
        <w:numPr>
          <w:ilvl w:val="0"/>
          <w:numId w:val="49"/>
        </w:numPr>
      </w:pPr>
      <w:r>
        <w:t>Laat afdelingshoofden een scan maken van huidige situatie en verwachte situatie.</w:t>
      </w:r>
    </w:p>
    <w:p w14:paraId="5CF9D2C7" w14:textId="77777777" w:rsidR="0017258A" w:rsidRDefault="0017258A"/>
    <w:p w14:paraId="7717FB39" w14:textId="77777777" w:rsidR="0017258A" w:rsidRDefault="0017258A">
      <w:pPr>
        <w:rPr>
          <w:b/>
        </w:rPr>
      </w:pPr>
      <w:r>
        <w:rPr>
          <w:b/>
        </w:rPr>
        <w:t>Inschatting financiële gevolgen</w:t>
      </w:r>
    </w:p>
    <w:p w14:paraId="6E0DBF3A" w14:textId="77777777" w:rsidR="0017258A" w:rsidRDefault="0017258A">
      <w:pPr>
        <w:rPr>
          <w:b/>
        </w:rPr>
      </w:pPr>
    </w:p>
    <w:p w14:paraId="206E0849" w14:textId="77777777" w:rsidR="0017258A" w:rsidRDefault="0017258A" w:rsidP="0017258A">
      <w:pPr>
        <w:pStyle w:val="Lijstalinea"/>
        <w:numPr>
          <w:ilvl w:val="0"/>
          <w:numId w:val="48"/>
        </w:numPr>
      </w:pPr>
      <w:r>
        <w:t>Vertraging in de bezuinigingsvoorstellen, m.n. SD met als gevolg een extra taakstelling in de laatste 2 jaren. De laatste 2 jaren van de meerjarenbegroting moeten nu sluitend zijn.</w:t>
      </w:r>
    </w:p>
    <w:p w14:paraId="3840A7DF" w14:textId="77777777" w:rsidR="0017258A" w:rsidRDefault="0017258A" w:rsidP="0017258A">
      <w:pPr>
        <w:pStyle w:val="Lijstalinea"/>
        <w:numPr>
          <w:ilvl w:val="0"/>
          <w:numId w:val="48"/>
        </w:numPr>
      </w:pPr>
      <w:r>
        <w:t>Hoger ziekteverzuim met hoger inhuur tot gevolg. Wellicht dat dit deels wel intern opgevangen kan worden omdat andere taken minder worden.</w:t>
      </w:r>
    </w:p>
    <w:p w14:paraId="2374D734" w14:textId="77777777" w:rsidR="0017258A" w:rsidRDefault="0017258A" w:rsidP="0017258A">
      <w:pPr>
        <w:pStyle w:val="Lijstalinea"/>
        <w:numPr>
          <w:ilvl w:val="0"/>
          <w:numId w:val="48"/>
        </w:numPr>
      </w:pPr>
      <w:r>
        <w:t>Hogere juridische kosten als gevolg vertalen nieuwe regelingen naar lokaal beleid.</w:t>
      </w:r>
    </w:p>
    <w:p w14:paraId="54709A6A" w14:textId="77777777" w:rsidR="0017258A" w:rsidRDefault="0017258A" w:rsidP="0017258A">
      <w:pPr>
        <w:pStyle w:val="Lijstalinea"/>
        <w:numPr>
          <w:ilvl w:val="0"/>
          <w:numId w:val="48"/>
        </w:numPr>
      </w:pPr>
      <w:r>
        <w:t>Hogere kosten vanwege bredere ondersteuning thuiswerken. Met als tegenhanger mogelijk lagere gebouwkosten en facilitaire kosten.</w:t>
      </w:r>
    </w:p>
    <w:p w14:paraId="7EE0BB02" w14:textId="77777777" w:rsidR="0017258A" w:rsidRDefault="0017258A" w:rsidP="00680E14">
      <w:pPr>
        <w:pStyle w:val="Lijstalinea"/>
        <w:numPr>
          <w:ilvl w:val="0"/>
          <w:numId w:val="48"/>
        </w:numPr>
      </w:pPr>
      <w:r>
        <w:t xml:space="preserve">Stijgende rentekosten als gevolg van ontwikkeling staatsschuld. </w:t>
      </w:r>
    </w:p>
    <w:p w14:paraId="0E732827" w14:textId="77777777" w:rsidR="0017258A" w:rsidRDefault="0017258A" w:rsidP="00680E14">
      <w:pPr>
        <w:pStyle w:val="Lijstalinea"/>
        <w:numPr>
          <w:ilvl w:val="0"/>
          <w:numId w:val="48"/>
        </w:numPr>
      </w:pPr>
      <w:r>
        <w:t>Hoger percentage oninbaarheid bij belastingen en hogere kosten voor invorderen.</w:t>
      </w:r>
    </w:p>
    <w:p w14:paraId="72D80D59" w14:textId="77777777" w:rsidR="0017258A" w:rsidRDefault="0017258A" w:rsidP="0017258A">
      <w:pPr>
        <w:pStyle w:val="Lijstalinea"/>
        <w:numPr>
          <w:ilvl w:val="0"/>
          <w:numId w:val="48"/>
        </w:numPr>
      </w:pPr>
      <w:r>
        <w:t>Lagere opbrengsten parkeerbelasting</w:t>
      </w:r>
    </w:p>
    <w:p w14:paraId="6584FD7A" w14:textId="77777777" w:rsidR="0017258A" w:rsidRDefault="0017258A" w:rsidP="0017258A">
      <w:pPr>
        <w:pStyle w:val="Lijstalinea"/>
        <w:numPr>
          <w:ilvl w:val="0"/>
          <w:numId w:val="48"/>
        </w:numPr>
      </w:pPr>
      <w:r>
        <w:t>Onzekerheid rondom algemene uitkering. Kan hoger uitvallen door trap op trap af, maar mogelijk worden andere kosten niet volledig gecompenseerd.</w:t>
      </w:r>
    </w:p>
    <w:p w14:paraId="39FD0BC2" w14:textId="77777777" w:rsidR="0017258A" w:rsidRDefault="0017258A" w:rsidP="0017258A">
      <w:pPr>
        <w:pStyle w:val="Lijstalinea"/>
        <w:numPr>
          <w:ilvl w:val="0"/>
          <w:numId w:val="48"/>
        </w:numPr>
      </w:pPr>
      <w:r>
        <w:t>Toename van de kosten van handhaving. Mogelijk dat hier op ingehuurd moet worden de komende maanden.</w:t>
      </w:r>
    </w:p>
    <w:p w14:paraId="3BB8F488" w14:textId="77777777" w:rsidR="0017258A" w:rsidRDefault="0017258A" w:rsidP="0017258A">
      <w:pPr>
        <w:pStyle w:val="Lijstalinea"/>
        <w:numPr>
          <w:ilvl w:val="0"/>
          <w:numId w:val="48"/>
        </w:numPr>
      </w:pPr>
      <w:r>
        <w:t>De verwachte opbrengsten in de grondexploitaties zullen tegenvallen. Voor zover deze verwachting nog niet is verwerkt in de jaarrekening 2019. Dit heeft negatieve gevolgen voor het resultaat en kan aanzienlijk oplopen.</w:t>
      </w:r>
    </w:p>
    <w:p w14:paraId="4189E431" w14:textId="77777777" w:rsidR="0017258A" w:rsidRDefault="0017258A" w:rsidP="0017258A">
      <w:pPr>
        <w:pStyle w:val="Lijstalinea"/>
        <w:numPr>
          <w:ilvl w:val="0"/>
          <w:numId w:val="48"/>
        </w:numPr>
      </w:pPr>
      <w:r>
        <w:t>Op het gebied van economie zullen enkele activiteiten worden beperkt, dit kan een voordeel opleveren.</w:t>
      </w:r>
    </w:p>
    <w:p w14:paraId="6203FD05" w14:textId="77777777" w:rsidR="0017258A" w:rsidRDefault="0017258A" w:rsidP="0017258A">
      <w:pPr>
        <w:pStyle w:val="Lijstalinea"/>
        <w:numPr>
          <w:ilvl w:val="0"/>
          <w:numId w:val="48"/>
        </w:numPr>
      </w:pPr>
      <w:r>
        <w:t>Toeristenbelasting zal aanzienlijk dalen.</w:t>
      </w:r>
    </w:p>
    <w:p w14:paraId="4E0EA51F" w14:textId="77777777" w:rsidR="0017258A" w:rsidRDefault="0017258A" w:rsidP="0017258A">
      <w:pPr>
        <w:pStyle w:val="Lijstalinea"/>
        <w:numPr>
          <w:ilvl w:val="0"/>
          <w:numId w:val="48"/>
        </w:numPr>
      </w:pPr>
      <w:r>
        <w:t>Op het gebied van sport en onderwijs zullen mogelijk een aantal zaken op een lager niveau worden uitgevoerd.</w:t>
      </w:r>
    </w:p>
    <w:p w14:paraId="22E17D37" w14:textId="77777777" w:rsidR="0017258A" w:rsidRDefault="0017258A" w:rsidP="0017258A">
      <w:pPr>
        <w:pStyle w:val="Lijstalinea"/>
        <w:numPr>
          <w:ilvl w:val="0"/>
          <w:numId w:val="48"/>
        </w:numPr>
      </w:pPr>
      <w:r>
        <w:t>Ten aanzien van cultuur is de strategie van het college en de raad zeer bepalend voor de toename van de kosten.</w:t>
      </w:r>
    </w:p>
    <w:p w14:paraId="3F8D707C" w14:textId="77777777" w:rsidR="0017258A" w:rsidRDefault="0017258A" w:rsidP="0017258A">
      <w:pPr>
        <w:pStyle w:val="Lijstalinea"/>
        <w:numPr>
          <w:ilvl w:val="0"/>
          <w:numId w:val="48"/>
        </w:numPr>
      </w:pPr>
      <w:r>
        <w:lastRenderedPageBreak/>
        <w:t>Bij het sociaal domein is het voornamelijk van belang om een goede inschatting te maken van de komende maanden om klaar te zijn. Als dit niet tijdig plaats vindt, dan zullen er maatregelen genomen moeten worden om achterstanden weg te werken. De bezuinigingen moeten al bijgesteld gaan worden. Misschien zit er nu wel een beperkte rem/vertraging op de kostenontwikkeling van de huishoudelijke hulp. Wel een hogere kans dat door deze situatie er meer maatwerk nodig is, doordat niet tijdig kon worden ingegrepen.</w:t>
      </w:r>
    </w:p>
    <w:p w14:paraId="30212628" w14:textId="77777777" w:rsidR="0017258A" w:rsidRDefault="0017258A" w:rsidP="0017258A">
      <w:pPr>
        <w:pStyle w:val="Lijstalinea"/>
        <w:numPr>
          <w:ilvl w:val="0"/>
          <w:numId w:val="48"/>
        </w:numPr>
      </w:pPr>
      <w:r>
        <w:t xml:space="preserve">Voor de financiële regelingen ZZP’ers worden alle </w:t>
      </w:r>
      <w:proofErr w:type="spellStart"/>
      <w:r>
        <w:t>uitkerings</w:t>
      </w:r>
      <w:proofErr w:type="spellEnd"/>
      <w:r>
        <w:t xml:space="preserve"> -en uitvoeringskosten vergoed door het rijk. Het is echter wel belangrijk dat deze dan goed in beeld zijn en wij alle (extra) kosten registreren en declareren.</w:t>
      </w:r>
    </w:p>
    <w:p w14:paraId="02C18F99" w14:textId="77777777" w:rsidR="0017258A" w:rsidRDefault="0017258A" w:rsidP="0017258A">
      <w:pPr>
        <w:pStyle w:val="Lijstalinea"/>
        <w:numPr>
          <w:ilvl w:val="0"/>
          <w:numId w:val="48"/>
        </w:numPr>
      </w:pPr>
      <w:r>
        <w:t>Bijdrage aan VGGM zal naar alle waarschijnlijk hoger gaan worden.</w:t>
      </w:r>
    </w:p>
    <w:p w14:paraId="56AE837F" w14:textId="77777777" w:rsidR="0017258A" w:rsidRDefault="0017258A" w:rsidP="0017258A">
      <w:pPr>
        <w:pStyle w:val="Lijstalinea"/>
        <w:numPr>
          <w:ilvl w:val="0"/>
          <w:numId w:val="48"/>
        </w:numPr>
      </w:pPr>
      <w:r>
        <w:t>Bij begraafplaatsen zal gekeken moeten worden of daar de komende maanden extra middelen nodig zijn.</w:t>
      </w:r>
    </w:p>
    <w:p w14:paraId="7FF791B3" w14:textId="77777777" w:rsidR="0017258A" w:rsidRDefault="0017258A" w:rsidP="0017258A">
      <w:pPr>
        <w:pStyle w:val="Lijstalinea"/>
        <w:numPr>
          <w:ilvl w:val="0"/>
          <w:numId w:val="48"/>
        </w:numPr>
      </w:pPr>
      <w:r>
        <w:t>Naar verwachting zullen de bouwleges lager uit gaan vallen. Op basis van de huidige verwachting zal dit wel voornamelijk uitstel zijn.</w:t>
      </w:r>
    </w:p>
    <w:p w14:paraId="579D8CD1" w14:textId="77777777" w:rsidR="002E2DD0" w:rsidRPr="00E14ADB" w:rsidRDefault="002E2DD0" w:rsidP="00E14ADB">
      <w:pPr>
        <w:rPr>
          <w:rFonts w:eastAsiaTheme="majorEastAsia"/>
        </w:rPr>
      </w:pPr>
    </w:p>
    <w:sectPr w:rsidR="002E2DD0" w:rsidRPr="00E14ADB" w:rsidSect="00E26D33">
      <w:headerReference w:type="even" r:id="rId9"/>
      <w:headerReference w:type="default" r:id="rId10"/>
      <w:footerReference w:type="even" r:id="rId11"/>
      <w:footerReference w:type="default" r:id="rId12"/>
      <w:headerReference w:type="first" r:id="rId13"/>
      <w:footerReference w:type="first" r:id="rId14"/>
      <w:pgSz w:w="12240" w:h="15840" w:code="1"/>
      <w:pgMar w:top="1247" w:right="1531" w:bottom="1304"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47DF7" w14:textId="77777777" w:rsidR="00F1318C" w:rsidRDefault="00F1318C" w:rsidP="00A14B69">
      <w:r>
        <w:separator/>
      </w:r>
    </w:p>
    <w:p w14:paraId="12D1485F" w14:textId="77777777" w:rsidR="00F1318C" w:rsidRDefault="00F1318C"/>
  </w:endnote>
  <w:endnote w:type="continuationSeparator" w:id="0">
    <w:p w14:paraId="74C6ACE1" w14:textId="77777777" w:rsidR="00F1318C" w:rsidRDefault="00F1318C" w:rsidP="00A14B69">
      <w:r>
        <w:continuationSeparator/>
      </w:r>
    </w:p>
    <w:p w14:paraId="04E33153" w14:textId="77777777" w:rsidR="00F1318C" w:rsidRDefault="00F13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72790" w14:textId="77777777" w:rsidR="00655883" w:rsidRDefault="006558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1864" w14:textId="77777777" w:rsidR="00655883" w:rsidRDefault="006558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314BE" w14:textId="77777777" w:rsidR="00655883" w:rsidRDefault="006558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A9EFE" w14:textId="77777777" w:rsidR="00F1318C" w:rsidRDefault="00F1318C">
      <w:r>
        <w:separator/>
      </w:r>
    </w:p>
  </w:footnote>
  <w:footnote w:type="continuationSeparator" w:id="0">
    <w:p w14:paraId="43935231" w14:textId="77777777" w:rsidR="00F1318C" w:rsidRDefault="00F1318C" w:rsidP="00A14B69">
      <w:r>
        <w:continuationSeparator/>
      </w:r>
    </w:p>
    <w:p w14:paraId="05C4F6A0" w14:textId="77777777" w:rsidR="00F1318C" w:rsidRDefault="00F131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91602" w14:textId="77777777" w:rsidR="00655883" w:rsidRDefault="006558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42D7C" w14:textId="77777777" w:rsidR="00655883" w:rsidRDefault="006558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D4723" w14:textId="77777777" w:rsidR="00655883" w:rsidRDefault="006558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4"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D96F51"/>
    <w:multiLevelType w:val="multilevel"/>
    <w:tmpl w:val="6CE03498"/>
    <w:numStyleLink w:val="Stijl1"/>
  </w:abstractNum>
  <w:abstractNum w:abstractNumId="6"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836727"/>
    <w:multiLevelType w:val="multilevel"/>
    <w:tmpl w:val="921CE4C8"/>
    <w:numStyleLink w:val="VNGGenummerdelijst"/>
  </w:abstractNum>
  <w:abstractNum w:abstractNumId="8"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0"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1"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0173AEA"/>
    <w:multiLevelType w:val="multilevel"/>
    <w:tmpl w:val="0562E376"/>
    <w:numStyleLink w:val="VNGOngenummerdelijst"/>
  </w:abstractNum>
  <w:abstractNum w:abstractNumId="13" w15:restartNumberingAfterBreak="0">
    <w:nsid w:val="20FB0649"/>
    <w:multiLevelType w:val="multilevel"/>
    <w:tmpl w:val="587E31B4"/>
    <w:numStyleLink w:val="VNGGenummerdekoppen2tm6"/>
  </w:abstractNum>
  <w:abstractNum w:abstractNumId="14"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B90EDC"/>
    <w:multiLevelType w:val="multilevel"/>
    <w:tmpl w:val="587E31B4"/>
    <w:numStyleLink w:val="VNGGenummerdekoppen2tm6"/>
  </w:abstractNum>
  <w:abstractNum w:abstractNumId="16"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7"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9"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9"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9B23E87"/>
    <w:multiLevelType w:val="hybridMultilevel"/>
    <w:tmpl w:val="608A1A6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3"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2C72D24"/>
    <w:multiLevelType w:val="hybridMultilevel"/>
    <w:tmpl w:val="3698F0C8"/>
    <w:lvl w:ilvl="0" w:tplc="847E39F8">
      <w:start w:val="1"/>
      <w:numFmt w:val="bullet"/>
      <w:lvlText w:val=""/>
      <w:lvlJc w:val="left"/>
      <w:pPr>
        <w:ind w:left="530" w:hanging="360"/>
      </w:pPr>
      <w:rPr>
        <w:rFonts w:ascii="Symbol" w:hAnsi="Symbol" w:hint="default"/>
      </w:rPr>
    </w:lvl>
    <w:lvl w:ilvl="1" w:tplc="04130003">
      <w:start w:val="1"/>
      <w:numFmt w:val="bullet"/>
      <w:lvlText w:val="o"/>
      <w:lvlJc w:val="left"/>
      <w:pPr>
        <w:ind w:left="1610" w:hanging="360"/>
      </w:pPr>
      <w:rPr>
        <w:rFonts w:ascii="Courier New" w:hAnsi="Courier New" w:cs="Courier New" w:hint="default"/>
      </w:rPr>
    </w:lvl>
    <w:lvl w:ilvl="2" w:tplc="04130005">
      <w:start w:val="1"/>
      <w:numFmt w:val="bullet"/>
      <w:lvlText w:val=""/>
      <w:lvlJc w:val="left"/>
      <w:pPr>
        <w:ind w:left="2330" w:hanging="360"/>
      </w:pPr>
      <w:rPr>
        <w:rFonts w:ascii="Wingdings" w:hAnsi="Wingdings" w:hint="default"/>
      </w:rPr>
    </w:lvl>
    <w:lvl w:ilvl="3" w:tplc="04130001">
      <w:start w:val="1"/>
      <w:numFmt w:val="bullet"/>
      <w:lvlText w:val=""/>
      <w:lvlJc w:val="left"/>
      <w:pPr>
        <w:ind w:left="3050" w:hanging="360"/>
      </w:pPr>
      <w:rPr>
        <w:rFonts w:ascii="Symbol" w:hAnsi="Symbol" w:hint="default"/>
      </w:rPr>
    </w:lvl>
    <w:lvl w:ilvl="4" w:tplc="04130003">
      <w:start w:val="1"/>
      <w:numFmt w:val="bullet"/>
      <w:lvlText w:val="o"/>
      <w:lvlJc w:val="left"/>
      <w:pPr>
        <w:ind w:left="3770" w:hanging="360"/>
      </w:pPr>
      <w:rPr>
        <w:rFonts w:ascii="Courier New" w:hAnsi="Courier New" w:cs="Courier New" w:hint="default"/>
      </w:rPr>
    </w:lvl>
    <w:lvl w:ilvl="5" w:tplc="04130005">
      <w:start w:val="1"/>
      <w:numFmt w:val="bullet"/>
      <w:lvlText w:val=""/>
      <w:lvlJc w:val="left"/>
      <w:pPr>
        <w:ind w:left="4490" w:hanging="360"/>
      </w:pPr>
      <w:rPr>
        <w:rFonts w:ascii="Wingdings" w:hAnsi="Wingdings" w:hint="default"/>
      </w:rPr>
    </w:lvl>
    <w:lvl w:ilvl="6" w:tplc="04130001">
      <w:start w:val="1"/>
      <w:numFmt w:val="bullet"/>
      <w:lvlText w:val=""/>
      <w:lvlJc w:val="left"/>
      <w:pPr>
        <w:ind w:left="5210" w:hanging="360"/>
      </w:pPr>
      <w:rPr>
        <w:rFonts w:ascii="Symbol" w:hAnsi="Symbol" w:hint="default"/>
      </w:rPr>
    </w:lvl>
    <w:lvl w:ilvl="7" w:tplc="04130003">
      <w:start w:val="1"/>
      <w:numFmt w:val="bullet"/>
      <w:lvlText w:val="o"/>
      <w:lvlJc w:val="left"/>
      <w:pPr>
        <w:ind w:left="5930" w:hanging="360"/>
      </w:pPr>
      <w:rPr>
        <w:rFonts w:ascii="Courier New" w:hAnsi="Courier New" w:cs="Courier New" w:hint="default"/>
      </w:rPr>
    </w:lvl>
    <w:lvl w:ilvl="8" w:tplc="04130005">
      <w:start w:val="1"/>
      <w:numFmt w:val="bullet"/>
      <w:lvlText w:val=""/>
      <w:lvlJc w:val="left"/>
      <w:pPr>
        <w:ind w:left="6650" w:hanging="360"/>
      </w:pPr>
      <w:rPr>
        <w:rFonts w:ascii="Wingdings" w:hAnsi="Wingdings" w:hint="default"/>
      </w:rPr>
    </w:lvl>
  </w:abstractNum>
  <w:abstractNum w:abstractNumId="35"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7" w15:restartNumberingAfterBreak="0">
    <w:nsid w:val="65B10FEB"/>
    <w:multiLevelType w:val="hybridMultilevel"/>
    <w:tmpl w:val="49B2AA0C"/>
    <w:lvl w:ilvl="0" w:tplc="E3CEF218">
      <w:numFmt w:val="bullet"/>
      <w:lvlText w:val="-"/>
      <w:lvlJc w:val="left"/>
      <w:pPr>
        <w:ind w:left="720" w:hanging="360"/>
      </w:pPr>
      <w:rPr>
        <w:rFonts w:ascii="Corbel" w:eastAsia="Times New Roman" w:hAnsi="Corbe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8" w15:restartNumberingAfterBreak="0">
    <w:nsid w:val="6998479B"/>
    <w:multiLevelType w:val="multilevel"/>
    <w:tmpl w:val="0562E376"/>
    <w:numStyleLink w:val="VNGOngenummerdelijst"/>
  </w:abstractNum>
  <w:abstractNum w:abstractNumId="39" w15:restartNumberingAfterBreak="0">
    <w:nsid w:val="69DD0E41"/>
    <w:multiLevelType w:val="multilevel"/>
    <w:tmpl w:val="921CE4C8"/>
    <w:numStyleLink w:val="VNGGenummerdelijst"/>
  </w:abstractNum>
  <w:abstractNum w:abstractNumId="40"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41"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44"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45"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28"/>
  </w:num>
  <w:num w:numId="2">
    <w:abstractNumId w:val="28"/>
  </w:num>
  <w:num w:numId="3">
    <w:abstractNumId w:val="36"/>
  </w:num>
  <w:num w:numId="4">
    <w:abstractNumId w:val="18"/>
  </w:num>
  <w:num w:numId="5">
    <w:abstractNumId w:val="15"/>
  </w:num>
  <w:num w:numId="6">
    <w:abstractNumId w:val="13"/>
  </w:num>
  <w:num w:numId="7">
    <w:abstractNumId w:val="8"/>
  </w:num>
  <w:num w:numId="8">
    <w:abstractNumId w:val="29"/>
  </w:num>
  <w:num w:numId="9">
    <w:abstractNumId w:val="35"/>
  </w:num>
  <w:num w:numId="10">
    <w:abstractNumId w:val="25"/>
  </w:num>
  <w:num w:numId="11">
    <w:abstractNumId w:val="33"/>
  </w:num>
  <w:num w:numId="12">
    <w:abstractNumId w:val="26"/>
  </w:num>
  <w:num w:numId="13">
    <w:abstractNumId w:val="22"/>
  </w:num>
  <w:num w:numId="14">
    <w:abstractNumId w:val="6"/>
  </w:num>
  <w:num w:numId="15">
    <w:abstractNumId w:val="10"/>
  </w:num>
  <w:num w:numId="16">
    <w:abstractNumId w:val="39"/>
  </w:num>
  <w:num w:numId="17">
    <w:abstractNumId w:val="7"/>
  </w:num>
  <w:num w:numId="18">
    <w:abstractNumId w:val="0"/>
  </w:num>
  <w:num w:numId="19">
    <w:abstractNumId w:val="38"/>
  </w:num>
  <w:num w:numId="20">
    <w:abstractNumId w:val="12"/>
  </w:num>
  <w:num w:numId="21">
    <w:abstractNumId w:val="28"/>
  </w:num>
  <w:num w:numId="22">
    <w:abstractNumId w:val="28"/>
  </w:num>
  <w:num w:numId="23">
    <w:abstractNumId w:val="28"/>
  </w:num>
  <w:num w:numId="24">
    <w:abstractNumId w:val="28"/>
  </w:num>
  <w:num w:numId="25">
    <w:abstractNumId w:val="28"/>
  </w:num>
  <w:num w:numId="26">
    <w:abstractNumId w:val="24"/>
  </w:num>
  <w:num w:numId="27">
    <w:abstractNumId w:val="44"/>
  </w:num>
  <w:num w:numId="28">
    <w:abstractNumId w:val="23"/>
  </w:num>
  <w:num w:numId="29">
    <w:abstractNumId w:val="45"/>
  </w:num>
  <w:num w:numId="30">
    <w:abstractNumId w:val="45"/>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abstractNumId w:val="45"/>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abstractNumId w:val="45"/>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abstractNumId w:val="4"/>
  </w:num>
  <w:num w:numId="34">
    <w:abstractNumId w:val="11"/>
  </w:num>
  <w:num w:numId="35">
    <w:abstractNumId w:val="1"/>
  </w:num>
  <w:num w:numId="36">
    <w:abstractNumId w:val="17"/>
  </w:num>
  <w:num w:numId="37">
    <w:abstractNumId w:val="16"/>
  </w:num>
  <w:num w:numId="38">
    <w:abstractNumId w:val="5"/>
  </w:num>
  <w:num w:numId="39">
    <w:abstractNumId w:val="19"/>
  </w:num>
  <w:num w:numId="40">
    <w:abstractNumId w:val="2"/>
  </w:num>
  <w:num w:numId="41">
    <w:abstractNumId w:val="40"/>
  </w:num>
  <w:num w:numId="42">
    <w:abstractNumId w:val="43"/>
  </w:num>
  <w:num w:numId="43">
    <w:abstractNumId w:val="32"/>
  </w:num>
  <w:num w:numId="44">
    <w:abstractNumId w:val="32"/>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5">
    <w:abstractNumId w:val="9"/>
  </w:num>
  <w:num w:numId="46">
    <w:abstractNumId w:val="14"/>
  </w:num>
  <w:num w:numId="47">
    <w:abstractNumId w:val="34"/>
  </w:num>
  <w:num w:numId="48">
    <w:abstractNumId w:val="37"/>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17258A"/>
    <w:rsid w:val="000030E7"/>
    <w:rsid w:val="00003406"/>
    <w:rsid w:val="00004825"/>
    <w:rsid w:val="00011C70"/>
    <w:rsid w:val="000129C5"/>
    <w:rsid w:val="00016416"/>
    <w:rsid w:val="00021C21"/>
    <w:rsid w:val="000232B6"/>
    <w:rsid w:val="00023660"/>
    <w:rsid w:val="00030286"/>
    <w:rsid w:val="00033A6C"/>
    <w:rsid w:val="00034625"/>
    <w:rsid w:val="000502B8"/>
    <w:rsid w:val="000518AD"/>
    <w:rsid w:val="0006002B"/>
    <w:rsid w:val="00077AB2"/>
    <w:rsid w:val="000807AD"/>
    <w:rsid w:val="00082CC0"/>
    <w:rsid w:val="00083760"/>
    <w:rsid w:val="00084781"/>
    <w:rsid w:val="000879EE"/>
    <w:rsid w:val="000902AF"/>
    <w:rsid w:val="00090B4C"/>
    <w:rsid w:val="00092C12"/>
    <w:rsid w:val="000A0953"/>
    <w:rsid w:val="000A4B2A"/>
    <w:rsid w:val="000A6024"/>
    <w:rsid w:val="000B2B8B"/>
    <w:rsid w:val="000B3E50"/>
    <w:rsid w:val="000B66CF"/>
    <w:rsid w:val="000C67A9"/>
    <w:rsid w:val="000D0E9B"/>
    <w:rsid w:val="000E0909"/>
    <w:rsid w:val="000E0A1D"/>
    <w:rsid w:val="000F634C"/>
    <w:rsid w:val="000F79E7"/>
    <w:rsid w:val="0010038F"/>
    <w:rsid w:val="00100E85"/>
    <w:rsid w:val="00102134"/>
    <w:rsid w:val="00103E96"/>
    <w:rsid w:val="00104486"/>
    <w:rsid w:val="00106382"/>
    <w:rsid w:val="00106D6E"/>
    <w:rsid w:val="00112C92"/>
    <w:rsid w:val="00125AF7"/>
    <w:rsid w:val="00131602"/>
    <w:rsid w:val="00135AD1"/>
    <w:rsid w:val="00137633"/>
    <w:rsid w:val="00141F7B"/>
    <w:rsid w:val="00163FAC"/>
    <w:rsid w:val="0017258A"/>
    <w:rsid w:val="00174E34"/>
    <w:rsid w:val="0018092A"/>
    <w:rsid w:val="00182104"/>
    <w:rsid w:val="00187A46"/>
    <w:rsid w:val="00195082"/>
    <w:rsid w:val="001950DA"/>
    <w:rsid w:val="001A1D9D"/>
    <w:rsid w:val="001A40AE"/>
    <w:rsid w:val="001B050E"/>
    <w:rsid w:val="001B44F1"/>
    <w:rsid w:val="001B5B7B"/>
    <w:rsid w:val="001C5C7E"/>
    <w:rsid w:val="001E2259"/>
    <w:rsid w:val="001E2B3A"/>
    <w:rsid w:val="001E4031"/>
    <w:rsid w:val="001F002E"/>
    <w:rsid w:val="001F594C"/>
    <w:rsid w:val="00200063"/>
    <w:rsid w:val="00200C5D"/>
    <w:rsid w:val="002037AD"/>
    <w:rsid w:val="0020541A"/>
    <w:rsid w:val="00207B7C"/>
    <w:rsid w:val="00216ED9"/>
    <w:rsid w:val="002255A0"/>
    <w:rsid w:val="00227CC6"/>
    <w:rsid w:val="0023128B"/>
    <w:rsid w:val="00235FC3"/>
    <w:rsid w:val="00236A46"/>
    <w:rsid w:val="00236E2A"/>
    <w:rsid w:val="002405B3"/>
    <w:rsid w:val="0024265D"/>
    <w:rsid w:val="00243B14"/>
    <w:rsid w:val="00245AB6"/>
    <w:rsid w:val="002506AC"/>
    <w:rsid w:val="0025661F"/>
    <w:rsid w:val="00263711"/>
    <w:rsid w:val="00265CD1"/>
    <w:rsid w:val="002733FD"/>
    <w:rsid w:val="00275F13"/>
    <w:rsid w:val="00290B7A"/>
    <w:rsid w:val="0029361E"/>
    <w:rsid w:val="002B1645"/>
    <w:rsid w:val="002B238E"/>
    <w:rsid w:val="002B53A4"/>
    <w:rsid w:val="002B5D63"/>
    <w:rsid w:val="002B6AD3"/>
    <w:rsid w:val="002C2D9E"/>
    <w:rsid w:val="002C3E0A"/>
    <w:rsid w:val="002C45AA"/>
    <w:rsid w:val="002D5463"/>
    <w:rsid w:val="002E2DD0"/>
    <w:rsid w:val="002E48C4"/>
    <w:rsid w:val="002E5E90"/>
    <w:rsid w:val="002F41D6"/>
    <w:rsid w:val="00311205"/>
    <w:rsid w:val="00313F8B"/>
    <w:rsid w:val="003164E1"/>
    <w:rsid w:val="00317E5C"/>
    <w:rsid w:val="00321405"/>
    <w:rsid w:val="003225CA"/>
    <w:rsid w:val="00323D77"/>
    <w:rsid w:val="00335DF2"/>
    <w:rsid w:val="00337AC2"/>
    <w:rsid w:val="00341465"/>
    <w:rsid w:val="0036145B"/>
    <w:rsid w:val="00364256"/>
    <w:rsid w:val="003735FE"/>
    <w:rsid w:val="00380210"/>
    <w:rsid w:val="00381ED2"/>
    <w:rsid w:val="00383FC5"/>
    <w:rsid w:val="00386866"/>
    <w:rsid w:val="00390415"/>
    <w:rsid w:val="003975D1"/>
    <w:rsid w:val="003A3387"/>
    <w:rsid w:val="003A606D"/>
    <w:rsid w:val="003C2180"/>
    <w:rsid w:val="003C6E64"/>
    <w:rsid w:val="003C7CD1"/>
    <w:rsid w:val="003C7F34"/>
    <w:rsid w:val="003D7028"/>
    <w:rsid w:val="00404E0C"/>
    <w:rsid w:val="00412B86"/>
    <w:rsid w:val="00412DC4"/>
    <w:rsid w:val="00415810"/>
    <w:rsid w:val="004165FB"/>
    <w:rsid w:val="00421C5D"/>
    <w:rsid w:val="00422833"/>
    <w:rsid w:val="00424B9C"/>
    <w:rsid w:val="00424E15"/>
    <w:rsid w:val="00437E02"/>
    <w:rsid w:val="00441A7A"/>
    <w:rsid w:val="00447A53"/>
    <w:rsid w:val="00455FEA"/>
    <w:rsid w:val="00456A75"/>
    <w:rsid w:val="00457685"/>
    <w:rsid w:val="00465F5F"/>
    <w:rsid w:val="00466564"/>
    <w:rsid w:val="00470924"/>
    <w:rsid w:val="00471FD9"/>
    <w:rsid w:val="00480663"/>
    <w:rsid w:val="00485CFF"/>
    <w:rsid w:val="00490E91"/>
    <w:rsid w:val="004A0171"/>
    <w:rsid w:val="004C2111"/>
    <w:rsid w:val="004C47B7"/>
    <w:rsid w:val="004C59AD"/>
    <w:rsid w:val="004D3758"/>
    <w:rsid w:val="004D3CAA"/>
    <w:rsid w:val="004D66E3"/>
    <w:rsid w:val="004D7B04"/>
    <w:rsid w:val="004E122E"/>
    <w:rsid w:val="004E4379"/>
    <w:rsid w:val="004E468C"/>
    <w:rsid w:val="004F3A45"/>
    <w:rsid w:val="004F3CBF"/>
    <w:rsid w:val="004F6633"/>
    <w:rsid w:val="004F6D38"/>
    <w:rsid w:val="004F7D9D"/>
    <w:rsid w:val="00501796"/>
    <w:rsid w:val="00507817"/>
    <w:rsid w:val="00513581"/>
    <w:rsid w:val="00522788"/>
    <w:rsid w:val="00526372"/>
    <w:rsid w:val="00527614"/>
    <w:rsid w:val="00527BA9"/>
    <w:rsid w:val="00542956"/>
    <w:rsid w:val="00556E47"/>
    <w:rsid w:val="00562315"/>
    <w:rsid w:val="00563646"/>
    <w:rsid w:val="005669DD"/>
    <w:rsid w:val="00567802"/>
    <w:rsid w:val="00582E44"/>
    <w:rsid w:val="005850E9"/>
    <w:rsid w:val="00585DA4"/>
    <w:rsid w:val="00587566"/>
    <w:rsid w:val="0059146E"/>
    <w:rsid w:val="00596181"/>
    <w:rsid w:val="005A40FE"/>
    <w:rsid w:val="005B07DD"/>
    <w:rsid w:val="005B1687"/>
    <w:rsid w:val="005B2A32"/>
    <w:rsid w:val="005B377D"/>
    <w:rsid w:val="005C6085"/>
    <w:rsid w:val="005C741B"/>
    <w:rsid w:val="005D015D"/>
    <w:rsid w:val="005F7C2A"/>
    <w:rsid w:val="00616493"/>
    <w:rsid w:val="00623C8B"/>
    <w:rsid w:val="00630623"/>
    <w:rsid w:val="0063250D"/>
    <w:rsid w:val="00634BB6"/>
    <w:rsid w:val="00635BBC"/>
    <w:rsid w:val="00655883"/>
    <w:rsid w:val="0065743E"/>
    <w:rsid w:val="006579A4"/>
    <w:rsid w:val="00663669"/>
    <w:rsid w:val="00664143"/>
    <w:rsid w:val="00664332"/>
    <w:rsid w:val="006651FB"/>
    <w:rsid w:val="0068115C"/>
    <w:rsid w:val="00684A8A"/>
    <w:rsid w:val="00690065"/>
    <w:rsid w:val="00690DF9"/>
    <w:rsid w:val="006A6CCE"/>
    <w:rsid w:val="006A784D"/>
    <w:rsid w:val="006B21DE"/>
    <w:rsid w:val="006D24F0"/>
    <w:rsid w:val="006E2FEC"/>
    <w:rsid w:val="006E7AC6"/>
    <w:rsid w:val="006F2B18"/>
    <w:rsid w:val="006F4749"/>
    <w:rsid w:val="00702C64"/>
    <w:rsid w:val="007073D8"/>
    <w:rsid w:val="0071015B"/>
    <w:rsid w:val="0071066E"/>
    <w:rsid w:val="007125CA"/>
    <w:rsid w:val="00715310"/>
    <w:rsid w:val="00717E98"/>
    <w:rsid w:val="00722538"/>
    <w:rsid w:val="00731172"/>
    <w:rsid w:val="00750652"/>
    <w:rsid w:val="00751EB6"/>
    <w:rsid w:val="00756DF9"/>
    <w:rsid w:val="00763B8F"/>
    <w:rsid w:val="00765309"/>
    <w:rsid w:val="00767423"/>
    <w:rsid w:val="007679C2"/>
    <w:rsid w:val="00771090"/>
    <w:rsid w:val="00776647"/>
    <w:rsid w:val="00780A69"/>
    <w:rsid w:val="00792A4F"/>
    <w:rsid w:val="007A52F1"/>
    <w:rsid w:val="007A5A66"/>
    <w:rsid w:val="007A7C74"/>
    <w:rsid w:val="007C008D"/>
    <w:rsid w:val="007C257B"/>
    <w:rsid w:val="007C75AF"/>
    <w:rsid w:val="007D433E"/>
    <w:rsid w:val="007D606D"/>
    <w:rsid w:val="007E1A9E"/>
    <w:rsid w:val="007E3377"/>
    <w:rsid w:val="007E6186"/>
    <w:rsid w:val="00812AE6"/>
    <w:rsid w:val="008130C7"/>
    <w:rsid w:val="00814DA3"/>
    <w:rsid w:val="008245C8"/>
    <w:rsid w:val="00824A0D"/>
    <w:rsid w:val="0083180E"/>
    <w:rsid w:val="00840D22"/>
    <w:rsid w:val="0084293B"/>
    <w:rsid w:val="00845BF1"/>
    <w:rsid w:val="00853FDD"/>
    <w:rsid w:val="008655D3"/>
    <w:rsid w:val="008670BF"/>
    <w:rsid w:val="008759AB"/>
    <w:rsid w:val="00881F13"/>
    <w:rsid w:val="00887C9C"/>
    <w:rsid w:val="00897055"/>
    <w:rsid w:val="008A0990"/>
    <w:rsid w:val="008A45DE"/>
    <w:rsid w:val="008A4C56"/>
    <w:rsid w:val="008A68BF"/>
    <w:rsid w:val="008C669F"/>
    <w:rsid w:val="008D3354"/>
    <w:rsid w:val="008D3A7A"/>
    <w:rsid w:val="008E082E"/>
    <w:rsid w:val="008E5C31"/>
    <w:rsid w:val="009075D8"/>
    <w:rsid w:val="00914D5C"/>
    <w:rsid w:val="0091640E"/>
    <w:rsid w:val="009172F4"/>
    <w:rsid w:val="00921F3C"/>
    <w:rsid w:val="00923B35"/>
    <w:rsid w:val="0093050A"/>
    <w:rsid w:val="009306DB"/>
    <w:rsid w:val="009317C2"/>
    <w:rsid w:val="00931EA6"/>
    <w:rsid w:val="00937597"/>
    <w:rsid w:val="009424E3"/>
    <w:rsid w:val="00942E93"/>
    <w:rsid w:val="00946587"/>
    <w:rsid w:val="00946FBB"/>
    <w:rsid w:val="00951434"/>
    <w:rsid w:val="0096142C"/>
    <w:rsid w:val="00962D1C"/>
    <w:rsid w:val="00965EEC"/>
    <w:rsid w:val="00981BB5"/>
    <w:rsid w:val="00990DCB"/>
    <w:rsid w:val="009955EB"/>
    <w:rsid w:val="009A1457"/>
    <w:rsid w:val="009A264E"/>
    <w:rsid w:val="009A37E3"/>
    <w:rsid w:val="009A7DF6"/>
    <w:rsid w:val="009B1CAF"/>
    <w:rsid w:val="009B268C"/>
    <w:rsid w:val="009B308B"/>
    <w:rsid w:val="009B786A"/>
    <w:rsid w:val="009C24E4"/>
    <w:rsid w:val="009C3531"/>
    <w:rsid w:val="009C6BCE"/>
    <w:rsid w:val="009C7B84"/>
    <w:rsid w:val="009D09F1"/>
    <w:rsid w:val="009E1F22"/>
    <w:rsid w:val="009E276D"/>
    <w:rsid w:val="009E2F98"/>
    <w:rsid w:val="009E4B00"/>
    <w:rsid w:val="009E7680"/>
    <w:rsid w:val="009F028C"/>
    <w:rsid w:val="009F718F"/>
    <w:rsid w:val="009F7D61"/>
    <w:rsid w:val="00A0763D"/>
    <w:rsid w:val="00A13119"/>
    <w:rsid w:val="00A1398C"/>
    <w:rsid w:val="00A14B69"/>
    <w:rsid w:val="00A16EF7"/>
    <w:rsid w:val="00A22920"/>
    <w:rsid w:val="00A245FF"/>
    <w:rsid w:val="00A2491B"/>
    <w:rsid w:val="00A30FCA"/>
    <w:rsid w:val="00A35198"/>
    <w:rsid w:val="00A352FD"/>
    <w:rsid w:val="00A364E4"/>
    <w:rsid w:val="00A40C8F"/>
    <w:rsid w:val="00A6122F"/>
    <w:rsid w:val="00A6204B"/>
    <w:rsid w:val="00A62DC7"/>
    <w:rsid w:val="00A63DFA"/>
    <w:rsid w:val="00A7090F"/>
    <w:rsid w:val="00A729D3"/>
    <w:rsid w:val="00A76FB4"/>
    <w:rsid w:val="00A92154"/>
    <w:rsid w:val="00A94032"/>
    <w:rsid w:val="00A95674"/>
    <w:rsid w:val="00AA1B0E"/>
    <w:rsid w:val="00AA246B"/>
    <w:rsid w:val="00AA7116"/>
    <w:rsid w:val="00AB1652"/>
    <w:rsid w:val="00AB66FE"/>
    <w:rsid w:val="00AC24EF"/>
    <w:rsid w:val="00AC51AD"/>
    <w:rsid w:val="00AC7813"/>
    <w:rsid w:val="00AD2349"/>
    <w:rsid w:val="00AE0E81"/>
    <w:rsid w:val="00AF317E"/>
    <w:rsid w:val="00AF3217"/>
    <w:rsid w:val="00AF5C66"/>
    <w:rsid w:val="00B02582"/>
    <w:rsid w:val="00B06308"/>
    <w:rsid w:val="00B07821"/>
    <w:rsid w:val="00B12E1C"/>
    <w:rsid w:val="00B14AD1"/>
    <w:rsid w:val="00B2436E"/>
    <w:rsid w:val="00B2532F"/>
    <w:rsid w:val="00B35133"/>
    <w:rsid w:val="00B46008"/>
    <w:rsid w:val="00B463BC"/>
    <w:rsid w:val="00B548E2"/>
    <w:rsid w:val="00B71278"/>
    <w:rsid w:val="00B83A80"/>
    <w:rsid w:val="00B90200"/>
    <w:rsid w:val="00B91CC3"/>
    <w:rsid w:val="00BA61BC"/>
    <w:rsid w:val="00BB5293"/>
    <w:rsid w:val="00BC1BFA"/>
    <w:rsid w:val="00BC23C3"/>
    <w:rsid w:val="00BD1E00"/>
    <w:rsid w:val="00BD3CF1"/>
    <w:rsid w:val="00BE61F5"/>
    <w:rsid w:val="00BF5937"/>
    <w:rsid w:val="00BF78E4"/>
    <w:rsid w:val="00C0087C"/>
    <w:rsid w:val="00C024AD"/>
    <w:rsid w:val="00C02CF5"/>
    <w:rsid w:val="00C067A0"/>
    <w:rsid w:val="00C13296"/>
    <w:rsid w:val="00C216E7"/>
    <w:rsid w:val="00C24703"/>
    <w:rsid w:val="00C37D3F"/>
    <w:rsid w:val="00C4070A"/>
    <w:rsid w:val="00C4144F"/>
    <w:rsid w:val="00C55BBB"/>
    <w:rsid w:val="00C61278"/>
    <w:rsid w:val="00C665AB"/>
    <w:rsid w:val="00C6754B"/>
    <w:rsid w:val="00C73421"/>
    <w:rsid w:val="00C747F8"/>
    <w:rsid w:val="00C77CF6"/>
    <w:rsid w:val="00C80825"/>
    <w:rsid w:val="00C8251D"/>
    <w:rsid w:val="00C90491"/>
    <w:rsid w:val="00C93843"/>
    <w:rsid w:val="00C9388A"/>
    <w:rsid w:val="00C97DAE"/>
    <w:rsid w:val="00CA3915"/>
    <w:rsid w:val="00CA4249"/>
    <w:rsid w:val="00CB32BE"/>
    <w:rsid w:val="00CB480F"/>
    <w:rsid w:val="00CB5653"/>
    <w:rsid w:val="00CC64F6"/>
    <w:rsid w:val="00CF59B8"/>
    <w:rsid w:val="00D03ECF"/>
    <w:rsid w:val="00D04948"/>
    <w:rsid w:val="00D05C8F"/>
    <w:rsid w:val="00D126C2"/>
    <w:rsid w:val="00D16F36"/>
    <w:rsid w:val="00D22C0A"/>
    <w:rsid w:val="00D30449"/>
    <w:rsid w:val="00D33E44"/>
    <w:rsid w:val="00D40B5F"/>
    <w:rsid w:val="00D42FED"/>
    <w:rsid w:val="00D4368B"/>
    <w:rsid w:val="00D466EF"/>
    <w:rsid w:val="00D468F1"/>
    <w:rsid w:val="00D46EFB"/>
    <w:rsid w:val="00D47382"/>
    <w:rsid w:val="00D64FAA"/>
    <w:rsid w:val="00D70E9B"/>
    <w:rsid w:val="00D917DB"/>
    <w:rsid w:val="00D9560C"/>
    <w:rsid w:val="00DA2235"/>
    <w:rsid w:val="00DA5B19"/>
    <w:rsid w:val="00DA7467"/>
    <w:rsid w:val="00DB3689"/>
    <w:rsid w:val="00DB695B"/>
    <w:rsid w:val="00DC5C70"/>
    <w:rsid w:val="00DD1D17"/>
    <w:rsid w:val="00DD1D71"/>
    <w:rsid w:val="00DE1C62"/>
    <w:rsid w:val="00DE3896"/>
    <w:rsid w:val="00DE38D5"/>
    <w:rsid w:val="00DE68B3"/>
    <w:rsid w:val="00DF1B65"/>
    <w:rsid w:val="00DF5E5E"/>
    <w:rsid w:val="00DF6905"/>
    <w:rsid w:val="00DF739D"/>
    <w:rsid w:val="00E075A9"/>
    <w:rsid w:val="00E102C4"/>
    <w:rsid w:val="00E14ADB"/>
    <w:rsid w:val="00E15774"/>
    <w:rsid w:val="00E22BAE"/>
    <w:rsid w:val="00E26244"/>
    <w:rsid w:val="00E26D33"/>
    <w:rsid w:val="00E276E0"/>
    <w:rsid w:val="00E40266"/>
    <w:rsid w:val="00E4683A"/>
    <w:rsid w:val="00E52649"/>
    <w:rsid w:val="00E622A2"/>
    <w:rsid w:val="00E71B04"/>
    <w:rsid w:val="00E73322"/>
    <w:rsid w:val="00E814EB"/>
    <w:rsid w:val="00E96E89"/>
    <w:rsid w:val="00EA2B9D"/>
    <w:rsid w:val="00EA3DDC"/>
    <w:rsid w:val="00EB4FA1"/>
    <w:rsid w:val="00EB63D1"/>
    <w:rsid w:val="00EC00B9"/>
    <w:rsid w:val="00EC395C"/>
    <w:rsid w:val="00EC64C9"/>
    <w:rsid w:val="00ED188F"/>
    <w:rsid w:val="00EE7AD3"/>
    <w:rsid w:val="00EF0A3E"/>
    <w:rsid w:val="00EF2AE2"/>
    <w:rsid w:val="00F02A90"/>
    <w:rsid w:val="00F06C7F"/>
    <w:rsid w:val="00F11CCA"/>
    <w:rsid w:val="00F1318C"/>
    <w:rsid w:val="00F15E90"/>
    <w:rsid w:val="00F2122E"/>
    <w:rsid w:val="00F249CB"/>
    <w:rsid w:val="00F25FC4"/>
    <w:rsid w:val="00F35752"/>
    <w:rsid w:val="00F3704C"/>
    <w:rsid w:val="00F4212E"/>
    <w:rsid w:val="00F42C04"/>
    <w:rsid w:val="00F46F1B"/>
    <w:rsid w:val="00F51369"/>
    <w:rsid w:val="00F60EB4"/>
    <w:rsid w:val="00F6247F"/>
    <w:rsid w:val="00F64A48"/>
    <w:rsid w:val="00F6587D"/>
    <w:rsid w:val="00F675B1"/>
    <w:rsid w:val="00F724EE"/>
    <w:rsid w:val="00F96C92"/>
    <w:rsid w:val="00FA15E7"/>
    <w:rsid w:val="00FA16E1"/>
    <w:rsid w:val="00FA2527"/>
    <w:rsid w:val="00FA48AB"/>
    <w:rsid w:val="00FB0DC8"/>
    <w:rsid w:val="00FB3229"/>
    <w:rsid w:val="00FB74A8"/>
    <w:rsid w:val="00FC0601"/>
    <w:rsid w:val="00FC30EF"/>
    <w:rsid w:val="00FC4E55"/>
    <w:rsid w:val="00FC74CE"/>
    <w:rsid w:val="00FD00E2"/>
    <w:rsid w:val="00FD0C87"/>
    <w:rsid w:val="00FE30D2"/>
    <w:rsid w:val="00FE3218"/>
    <w:rsid w:val="00FE3C89"/>
    <w:rsid w:val="00FE6B76"/>
    <w:rsid w:val="00FF4B43"/>
    <w:rsid w:val="00FF68B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E3D5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7258A"/>
    <w:pPr>
      <w:spacing w:line="240" w:lineRule="auto"/>
    </w:pPr>
    <w:rPr>
      <w:rFonts w:ascii="Corbel" w:hAnsi="Corbel"/>
      <w:sz w:val="22"/>
      <w:szCs w:val="24"/>
      <w:lang w:bidi="nl-NL"/>
    </w:rPr>
  </w:style>
  <w:style w:type="paragraph" w:styleId="Kop1">
    <w:name w:val="heading 1"/>
    <w:aliases w:val="Webversie;titel document"/>
    <w:basedOn w:val="Standaard"/>
    <w:next w:val="Standaard"/>
    <w:link w:val="Kop1Char"/>
    <w:uiPriority w:val="5"/>
    <w:qFormat/>
    <w:rsid w:val="00EA3DDC"/>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CF59B8"/>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F51369"/>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2532F"/>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2532F"/>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2506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471FD9"/>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
    <w:uiPriority w:val="5"/>
    <w:rsid w:val="00EA3DDC"/>
    <w:rPr>
      <w:bCs/>
      <w:color w:val="002C64"/>
      <w:kern w:val="32"/>
      <w:sz w:val="60"/>
      <w:szCs w:val="32"/>
    </w:rPr>
  </w:style>
  <w:style w:type="character" w:customStyle="1" w:styleId="Kop2Char">
    <w:name w:val="Kop 2 Char"/>
    <w:aliases w:val="Kop 2 Hoofdstuktitel Char"/>
    <w:link w:val="Kop2"/>
    <w:uiPriority w:val="1"/>
    <w:rsid w:val="00CF59B8"/>
    <w:rPr>
      <w:rFonts w:cs="Courier New"/>
      <w:color w:val="00A9F3"/>
      <w:sz w:val="40"/>
      <w:szCs w:val="50"/>
    </w:rPr>
  </w:style>
  <w:style w:type="character" w:customStyle="1" w:styleId="Kop3Char">
    <w:name w:val="Kop 3 Char"/>
    <w:aliases w:val="Kop 3 Paragraaftitel Char"/>
    <w:link w:val="Kop3"/>
    <w:uiPriority w:val="1"/>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basedOn w:val="Standaard"/>
    <w:uiPriority w:val="34"/>
    <w:unhideWhenUsed/>
    <w:qFormat/>
    <w:rsid w:val="00C0087C"/>
    <w:pPr>
      <w:contextualSpacing/>
    </w:p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15"/>
      </w:numPr>
    </w:pPr>
  </w:style>
  <w:style w:type="numbering" w:customStyle="1" w:styleId="VNGOngenummerdelijst">
    <w:name w:val="VNG Ongenummerde lijst"/>
    <w:uiPriority w:val="99"/>
    <w:rsid w:val="005B1687"/>
    <w:pPr>
      <w:numPr>
        <w:numId w:val="18"/>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780A69"/>
    <w:pPr>
      <w:spacing w:after="250" w:line="330" w:lineRule="atLeast"/>
    </w:pPr>
    <w:rPr>
      <w:b/>
      <w:sz w:val="24"/>
      <w:lang w:val="fr-FR"/>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qFormat/>
    <w:rsid w:val="00AB1652"/>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rPr>
      <w:sz w:val="18"/>
    </w:rPr>
  </w:style>
  <w:style w:type="paragraph" w:styleId="Voetnoottekst">
    <w:name w:val="footnote text"/>
    <w:basedOn w:val="Standaard"/>
    <w:link w:val="VoetnoottekstChar"/>
    <w:semiHidden/>
    <w:unhideWhenUsed/>
    <w:rsid w:val="009172F4"/>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p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nhideWhenUsed/>
    <w:rsid w:val="004D66E3"/>
    <w:pPr>
      <w:tabs>
        <w:tab w:val="center" w:pos="4513"/>
        <w:tab w:val="right" w:pos="9026"/>
      </w:tabs>
    </w:pPr>
  </w:style>
  <w:style w:type="character" w:customStyle="1" w:styleId="VoettekstChar">
    <w:name w:val="Voettekst Char"/>
    <w:basedOn w:val="Standaardalinea-lettertype"/>
    <w:link w:val="Voettekst"/>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37"/>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onderwerpen/zelfstandigen-zonder-personeel-zzp/extra-tijdelijke-ondersteuning-voor-zzp-e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4DBE8-74EA-4B29-B6E5-56CC7B34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Basissjabloon VNG Realisatie</Template>
  <TotalTime>0</TotalTime>
  <Pages>5</Pages>
  <Words>1445</Words>
  <Characters>7949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2020-04-09T11:33:00Z</dcterms:created>
  <dcterms:modified xsi:type="dcterms:W3CDTF">2020-04-09T11:33:00Z</dcterms:modified>
</cp:coreProperties>
</file>