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EE5" w:rsidRPr="00EB1567" w:rsidRDefault="009F1EE5" w:rsidP="00773866">
      <w:pPr>
        <w:pStyle w:val="Lijstalinea"/>
        <w:spacing w:line="280" w:lineRule="atLeast"/>
        <w:rPr>
          <w:b/>
          <w:u w:val="single"/>
        </w:rPr>
      </w:pPr>
      <w:r w:rsidRPr="00EB1567">
        <w:rPr>
          <w:b/>
          <w:u w:val="single"/>
        </w:rPr>
        <w:t xml:space="preserve">Samenvatting en preadvies motie </w:t>
      </w:r>
      <w:r>
        <w:rPr>
          <w:b/>
          <w:u w:val="single"/>
        </w:rPr>
        <w:t>Lelystad Specifiek uitkering Sport</w:t>
      </w:r>
      <w:r w:rsidRPr="00EB1567">
        <w:rPr>
          <w:b/>
          <w:u w:val="single"/>
        </w:rPr>
        <w:br/>
      </w:r>
    </w:p>
    <w:p w:rsidR="009F1EE5" w:rsidRDefault="009F1EE5" w:rsidP="00773866">
      <w:pPr>
        <w:pStyle w:val="Lijstalinea"/>
        <w:spacing w:line="280" w:lineRule="atLeast"/>
        <w:rPr>
          <w:b/>
        </w:rPr>
      </w:pPr>
      <w:r w:rsidRPr="0083787B">
        <w:rPr>
          <w:b/>
        </w:rPr>
        <w:t>Indienende gemeente</w:t>
      </w:r>
      <w:r>
        <w:rPr>
          <w:b/>
        </w:rPr>
        <w:t>: Lelystad</w:t>
      </w:r>
    </w:p>
    <w:p w:rsidR="009F1EE5" w:rsidRDefault="009F1EE5" w:rsidP="00773866">
      <w:pPr>
        <w:pStyle w:val="Lijstalinea"/>
        <w:spacing w:line="280" w:lineRule="atLeast"/>
      </w:pPr>
      <w:r>
        <w:br/>
      </w:r>
      <w:r>
        <w:rPr>
          <w:b/>
        </w:rPr>
        <w:t xml:space="preserve">Status motie: </w:t>
      </w:r>
      <w:r>
        <w:t xml:space="preserve">definitief </w:t>
      </w:r>
    </w:p>
    <w:p w:rsidR="00773866" w:rsidRDefault="009F1EE5" w:rsidP="00773866">
      <w:pPr>
        <w:pStyle w:val="Lijstalinea"/>
        <w:spacing w:line="280" w:lineRule="atLeast"/>
        <w:rPr>
          <w:b/>
        </w:rPr>
      </w:pPr>
      <w:r w:rsidRPr="00345FD5">
        <w:rPr>
          <w:b/>
        </w:rPr>
        <w:br/>
        <w:t xml:space="preserve">Strekking van de motie: </w:t>
      </w:r>
    </w:p>
    <w:p w:rsidR="009F1EE5" w:rsidRPr="00773866" w:rsidRDefault="009F1EE5" w:rsidP="00773866">
      <w:pPr>
        <w:pStyle w:val="Lijstalinea"/>
        <w:spacing w:line="280" w:lineRule="atLeast"/>
      </w:pPr>
      <w:r w:rsidRPr="00773866">
        <w:t>Aandringen bij het kabinet op een volledige compensatie van het btw-nadeel dat gemeenten en sportbedrijven leiden door verruiming van de btw-sportvrijstelling</w:t>
      </w:r>
      <w:r w:rsidR="00773866">
        <w:t>.</w:t>
      </w:r>
      <w:bookmarkStart w:id="0" w:name="_GoBack"/>
      <w:bookmarkEnd w:id="0"/>
    </w:p>
    <w:p w:rsidR="009F1EE5" w:rsidRPr="00345FD5" w:rsidRDefault="009F1EE5" w:rsidP="009F1EE5">
      <w:pPr>
        <w:spacing w:line="280" w:lineRule="atLeast"/>
        <w:ind w:left="360"/>
        <w:contextualSpacing/>
      </w:pPr>
    </w:p>
    <w:p w:rsidR="009F1EE5" w:rsidRPr="00345FD5" w:rsidRDefault="009F1EE5" w:rsidP="00773866">
      <w:pPr>
        <w:spacing w:line="280" w:lineRule="atLeast"/>
        <w:contextualSpacing/>
      </w:pPr>
      <w:r w:rsidRPr="00345FD5">
        <w:rPr>
          <w:b/>
        </w:rPr>
        <w:t>Preadvies VNG-bestuur:</w:t>
      </w:r>
      <w:r>
        <w:t xml:space="preserve"> </w:t>
      </w:r>
      <w:r w:rsidR="00773866">
        <w:t>o</w:t>
      </w:r>
      <w:r>
        <w:t>vernemen</w:t>
      </w:r>
    </w:p>
    <w:p w:rsidR="009F1EE5" w:rsidRDefault="009F1EE5" w:rsidP="009F1EE5">
      <w:pPr>
        <w:spacing w:line="280" w:lineRule="atLeast"/>
        <w:ind w:left="360"/>
        <w:contextualSpacing/>
        <w:rPr>
          <w:b/>
        </w:rPr>
      </w:pPr>
    </w:p>
    <w:p w:rsidR="009F1EE5" w:rsidRDefault="009F1EE5" w:rsidP="00773866">
      <w:pPr>
        <w:spacing w:line="280" w:lineRule="atLeast"/>
        <w:contextualSpacing/>
        <w:rPr>
          <w:b/>
        </w:rPr>
      </w:pPr>
      <w:r w:rsidRPr="00345FD5">
        <w:rPr>
          <w:b/>
        </w:rPr>
        <w:t>Toelichting</w:t>
      </w:r>
      <w:r>
        <w:rPr>
          <w:b/>
        </w:rPr>
        <w:t xml:space="preserve"> bij het preadvies: </w:t>
      </w:r>
      <w:r w:rsidRPr="00345FD5">
        <w:rPr>
          <w:b/>
        </w:rPr>
        <w:t xml:space="preserve"> </w:t>
      </w:r>
    </w:p>
    <w:p w:rsidR="009F1EE5" w:rsidRDefault="009F1EE5" w:rsidP="00773866">
      <w:pPr>
        <w:spacing w:line="276" w:lineRule="auto"/>
        <w:rPr>
          <w:bCs/>
          <w:iCs/>
        </w:rPr>
      </w:pPr>
      <w:r>
        <w:rPr>
          <w:bCs/>
          <w:iCs/>
        </w:rPr>
        <w:t xml:space="preserve">Gemeenten hebben voor € 228 miljoen aan aanvragen ingediend voor de Specifieke Uitkering Stimulering Sport (SPUK). </w:t>
      </w:r>
      <w:r>
        <w:t>Via de SPUK worden gemeenten en gelieerde sportbedrijven gecompenseerd voor het btw-nadeel dat zij leiden door de verruiming van de sportvrijstelling in de Wet omzetbelasting</w:t>
      </w:r>
      <w:r>
        <w:rPr>
          <w:bCs/>
          <w:iCs/>
        </w:rPr>
        <w:t xml:space="preserve"> per 1 januari 2019. De SPUK sport voor 2019 heeft een budget van € 185 miljoen.</w:t>
      </w:r>
    </w:p>
    <w:p w:rsidR="00773866" w:rsidRDefault="00773866" w:rsidP="00773866">
      <w:pPr>
        <w:spacing w:line="276" w:lineRule="auto"/>
        <w:rPr>
          <w:b/>
        </w:rPr>
      </w:pPr>
    </w:p>
    <w:p w:rsidR="00773866" w:rsidRDefault="009F1EE5" w:rsidP="00773866">
      <w:pPr>
        <w:spacing w:after="160" w:line="276" w:lineRule="auto"/>
      </w:pPr>
      <w:r>
        <w:t xml:space="preserve">Op basis van de gemeentelijke jaarcijfers (ergens mei/juni 2020) zal vermoedelijk pas op zijn vroegst eind 2020 duidelijk zijn wat de gemeenten precies krijgen uitgekeerd. Dit belemmert investeringen in sportaccommodaties. Aan ons en de Tweede Kamer is zowel door de minister van sport Bruno Bruins als door staatsecretaris Snel altijd voorgehouden dat het verruimen van de btw-sportvrijstelling budgettair neutraal zou worden ingevoerd. Hierin past niet dat er uiteindelijk een btw-nadeel zal zijn voor gemeenten en de sport. </w:t>
      </w:r>
    </w:p>
    <w:p w:rsidR="009F1EE5" w:rsidRDefault="009F1EE5" w:rsidP="00773866">
      <w:pPr>
        <w:spacing w:after="160" w:line="276" w:lineRule="auto"/>
      </w:pPr>
      <w:r>
        <w:t>De VNG pleit daarom voor een garantie door het kabinet op volledige compensatie van gemeenten en sportbedrijven voor 2019 en volgende jaren.</w:t>
      </w:r>
      <w:r w:rsidR="00773866">
        <w:t xml:space="preserve"> Deze motie ondersteunt de inzet van de VNG. </w:t>
      </w:r>
    </w:p>
    <w:p w:rsidR="009F1EE5" w:rsidRPr="00345FD5" w:rsidRDefault="009F1EE5" w:rsidP="009F1EE5">
      <w:pPr>
        <w:spacing w:line="280" w:lineRule="atLeast"/>
        <w:ind w:left="360"/>
        <w:contextualSpacing/>
        <w:rPr>
          <w:b/>
        </w:rPr>
      </w:pPr>
    </w:p>
    <w:p w:rsidR="002E2DD0" w:rsidRPr="00E14ADB" w:rsidRDefault="002E2DD0" w:rsidP="00E14ADB">
      <w:pPr>
        <w:rPr>
          <w:rFonts w:eastAsiaTheme="majorEastAsia"/>
        </w:rPr>
      </w:pPr>
    </w:p>
    <w:sectPr w:rsidR="002E2DD0" w:rsidRPr="00E14ADB" w:rsidSect="00E26D33">
      <w:headerReference w:type="even" r:id="rId8"/>
      <w:headerReference w:type="default" r:id="rId9"/>
      <w:footerReference w:type="even" r:id="rId10"/>
      <w:footerReference w:type="default" r:id="rId11"/>
      <w:headerReference w:type="first" r:id="rId12"/>
      <w:footerReference w:type="firs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EE5" w:rsidRDefault="009F1EE5" w:rsidP="00A14B69">
      <w:r>
        <w:separator/>
      </w:r>
    </w:p>
    <w:p w:rsidR="009F1EE5" w:rsidRDefault="009F1EE5"/>
  </w:endnote>
  <w:endnote w:type="continuationSeparator" w:id="0">
    <w:p w:rsidR="009F1EE5" w:rsidRDefault="009F1EE5" w:rsidP="00A14B69">
      <w:r>
        <w:continuationSeparator/>
      </w:r>
    </w:p>
    <w:p w:rsidR="009F1EE5" w:rsidRDefault="009F1E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EE5" w:rsidRDefault="009F1EE5">
      <w:r>
        <w:separator/>
      </w:r>
    </w:p>
  </w:footnote>
  <w:footnote w:type="continuationSeparator" w:id="0">
    <w:p w:rsidR="009F1EE5" w:rsidRDefault="009F1EE5" w:rsidP="00A14B69">
      <w:r>
        <w:continuationSeparator/>
      </w:r>
    </w:p>
    <w:p w:rsidR="009F1EE5" w:rsidRDefault="009F1E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883" w:rsidRDefault="006558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5"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D96F51"/>
    <w:multiLevelType w:val="multilevel"/>
    <w:tmpl w:val="6CE03498"/>
    <w:numStyleLink w:val="Stijl1"/>
  </w:abstractNum>
  <w:abstractNum w:abstractNumId="7"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836727"/>
    <w:multiLevelType w:val="multilevel"/>
    <w:tmpl w:val="921CE4C8"/>
    <w:numStyleLink w:val="VNGGenummerdelijst"/>
  </w:abstractNum>
  <w:abstractNum w:abstractNumId="9"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663CEA"/>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2"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173AEA"/>
    <w:multiLevelType w:val="multilevel"/>
    <w:tmpl w:val="0562E376"/>
    <w:numStyleLink w:val="VNGOngenummerdelijst"/>
  </w:abstractNum>
  <w:abstractNum w:abstractNumId="14" w15:restartNumberingAfterBreak="0">
    <w:nsid w:val="20FB0649"/>
    <w:multiLevelType w:val="multilevel"/>
    <w:tmpl w:val="587E31B4"/>
    <w:numStyleLink w:val="VNGGenummerdekoppen2tm6"/>
  </w:abstractNum>
  <w:abstractNum w:abstractNumId="15"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B90EDC"/>
    <w:multiLevelType w:val="multilevel"/>
    <w:tmpl w:val="587E31B4"/>
    <w:numStyleLink w:val="VNGGenummerdekoppen2tm6"/>
  </w:abstractNum>
  <w:abstractNum w:abstractNumId="17"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8"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20"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0"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9714F2"/>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3"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857D7D"/>
    <w:multiLevelType w:val="multilevel"/>
    <w:tmpl w:val="EFA8A30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Letter"/>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Letter"/>
      <w:lvlText w:val="%9."/>
      <w:lvlJc w:val="left"/>
      <w:pPr>
        <w:ind w:left="5103" w:hanging="567"/>
      </w:pPr>
      <w:rPr>
        <w:rFonts w:hint="default"/>
      </w:rPr>
    </w:lvl>
  </w:abstractNum>
  <w:abstractNum w:abstractNumId="36" w15:restartNumberingAfterBreak="0">
    <w:nsid w:val="6998479B"/>
    <w:multiLevelType w:val="multilevel"/>
    <w:tmpl w:val="0562E376"/>
    <w:numStyleLink w:val="VNGOngenummerdelijst"/>
  </w:abstractNum>
  <w:abstractNum w:abstractNumId="37" w15:restartNumberingAfterBreak="0">
    <w:nsid w:val="69DD0E41"/>
    <w:multiLevelType w:val="multilevel"/>
    <w:tmpl w:val="921CE4C8"/>
    <w:numStyleLink w:val="VNGGenummerdelijst"/>
  </w:abstractNum>
  <w:abstractNum w:abstractNumId="38" w15:restartNumberingAfterBreak="0">
    <w:nsid w:val="6B654CF5"/>
    <w:multiLevelType w:val="multilevel"/>
    <w:tmpl w:val="2130AAC2"/>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tabs>
          <w:tab w:val="num" w:pos="5103"/>
        </w:tabs>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9"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2"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3" w15:restartNumberingAfterBreak="0">
    <w:nsid w:val="7F7E5B27"/>
    <w:multiLevelType w:val="multilevel"/>
    <w:tmpl w:val="A008DF3E"/>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588" w:hanging="454"/>
      </w:pPr>
      <w:rPr>
        <w:rFonts w:hint="default"/>
      </w:rPr>
    </w:lvl>
    <w:lvl w:ilvl="3">
      <w:start w:val="1"/>
      <w:numFmt w:val="decimal"/>
      <w:lvlText w:val="%4."/>
      <w:lvlJc w:val="left"/>
      <w:pPr>
        <w:ind w:left="1588" w:hanging="454"/>
      </w:pPr>
      <w:rPr>
        <w:rFonts w:hint="default"/>
      </w:rPr>
    </w:lvl>
    <w:lvl w:ilvl="4">
      <w:start w:val="1"/>
      <w:numFmt w:val="lowerLetter"/>
      <w:lvlText w:val="%5."/>
      <w:lvlJc w:val="left"/>
      <w:pPr>
        <w:ind w:left="1588" w:hanging="454"/>
      </w:pPr>
      <w:rPr>
        <w:rFonts w:hint="default"/>
      </w:rPr>
    </w:lvl>
    <w:lvl w:ilvl="5">
      <w:start w:val="1"/>
      <w:numFmt w:val="lowerRoman"/>
      <w:lvlText w:val="%6."/>
      <w:lvlJc w:val="left"/>
      <w:pPr>
        <w:ind w:left="1588" w:hanging="454"/>
      </w:pPr>
      <w:rPr>
        <w:rFonts w:hint="default"/>
      </w:rPr>
    </w:lvl>
    <w:lvl w:ilvl="6">
      <w:start w:val="1"/>
      <w:numFmt w:val="decimal"/>
      <w:lvlText w:val="%7."/>
      <w:lvlJc w:val="left"/>
      <w:pPr>
        <w:ind w:left="1588" w:hanging="454"/>
      </w:pPr>
      <w:rPr>
        <w:rFonts w:hint="default"/>
      </w:rPr>
    </w:lvl>
    <w:lvl w:ilvl="7">
      <w:start w:val="1"/>
      <w:numFmt w:val="lowerLetter"/>
      <w:lvlText w:val="%8."/>
      <w:lvlJc w:val="left"/>
      <w:pPr>
        <w:ind w:left="1588" w:hanging="454"/>
      </w:pPr>
      <w:rPr>
        <w:rFonts w:hint="default"/>
      </w:rPr>
    </w:lvl>
    <w:lvl w:ilvl="8">
      <w:start w:val="1"/>
      <w:numFmt w:val="lowerRoman"/>
      <w:lvlText w:val="%9."/>
      <w:lvlJc w:val="left"/>
      <w:pPr>
        <w:ind w:left="1588" w:hanging="454"/>
      </w:pPr>
      <w:rPr>
        <w:rFonts w:hint="default"/>
      </w:rPr>
    </w:lvl>
  </w:abstractNum>
  <w:num w:numId="1">
    <w:abstractNumId w:val="29"/>
  </w:num>
  <w:num w:numId="2">
    <w:abstractNumId w:val="29"/>
  </w:num>
  <w:num w:numId="3">
    <w:abstractNumId w:val="35"/>
  </w:num>
  <w:num w:numId="4">
    <w:abstractNumId w:val="19"/>
  </w:num>
  <w:num w:numId="5">
    <w:abstractNumId w:val="16"/>
  </w:num>
  <w:num w:numId="6">
    <w:abstractNumId w:val="14"/>
  </w:num>
  <w:num w:numId="7">
    <w:abstractNumId w:val="9"/>
  </w:num>
  <w:num w:numId="8">
    <w:abstractNumId w:val="30"/>
  </w:num>
  <w:num w:numId="9">
    <w:abstractNumId w:val="34"/>
  </w:num>
  <w:num w:numId="10">
    <w:abstractNumId w:val="26"/>
  </w:num>
  <w:num w:numId="11">
    <w:abstractNumId w:val="33"/>
  </w:num>
  <w:num w:numId="12">
    <w:abstractNumId w:val="27"/>
  </w:num>
  <w:num w:numId="13">
    <w:abstractNumId w:val="23"/>
  </w:num>
  <w:num w:numId="14">
    <w:abstractNumId w:val="7"/>
  </w:num>
  <w:num w:numId="15">
    <w:abstractNumId w:val="11"/>
  </w:num>
  <w:num w:numId="16">
    <w:abstractNumId w:val="37"/>
  </w:num>
  <w:num w:numId="17">
    <w:abstractNumId w:val="8"/>
  </w:num>
  <w:num w:numId="18">
    <w:abstractNumId w:val="0"/>
  </w:num>
  <w:num w:numId="19">
    <w:abstractNumId w:val="36"/>
  </w:num>
  <w:num w:numId="20">
    <w:abstractNumId w:val="13"/>
  </w:num>
  <w:num w:numId="21">
    <w:abstractNumId w:val="29"/>
  </w:num>
  <w:num w:numId="22">
    <w:abstractNumId w:val="29"/>
  </w:num>
  <w:num w:numId="23">
    <w:abstractNumId w:val="29"/>
  </w:num>
  <w:num w:numId="24">
    <w:abstractNumId w:val="29"/>
  </w:num>
  <w:num w:numId="25">
    <w:abstractNumId w:val="29"/>
  </w:num>
  <w:num w:numId="26">
    <w:abstractNumId w:val="25"/>
  </w:num>
  <w:num w:numId="27">
    <w:abstractNumId w:val="42"/>
  </w:num>
  <w:num w:numId="28">
    <w:abstractNumId w:val="24"/>
  </w:num>
  <w:num w:numId="29">
    <w:abstractNumId w:val="43"/>
  </w:num>
  <w:num w:numId="30">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134" w:hanging="283"/>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851" w:hanging="28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43"/>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1021" w:hanging="454"/>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5"/>
  </w:num>
  <w:num w:numId="34">
    <w:abstractNumId w:val="12"/>
  </w:num>
  <w:num w:numId="35">
    <w:abstractNumId w:val="2"/>
  </w:num>
  <w:num w:numId="36">
    <w:abstractNumId w:val="18"/>
  </w:num>
  <w:num w:numId="37">
    <w:abstractNumId w:val="17"/>
  </w:num>
  <w:num w:numId="38">
    <w:abstractNumId w:val="6"/>
  </w:num>
  <w:num w:numId="39">
    <w:abstractNumId w:val="20"/>
  </w:num>
  <w:num w:numId="40">
    <w:abstractNumId w:val="3"/>
  </w:num>
  <w:num w:numId="41">
    <w:abstractNumId w:val="38"/>
  </w:num>
  <w:num w:numId="42">
    <w:abstractNumId w:val="41"/>
  </w:num>
  <w:num w:numId="43">
    <w:abstractNumId w:val="32"/>
  </w:num>
  <w:num w:numId="44">
    <w:abstractNumId w:val="32"/>
    <w:lvlOverride w:ilvl="0">
      <w:lvl w:ilvl="0">
        <w:start w:val="1"/>
        <w:numFmt w:val="decimal"/>
        <w:lvlText w:val="%1."/>
        <w:lvlJc w:val="left"/>
        <w:pPr>
          <w:ind w:left="454" w:hanging="454"/>
        </w:pPr>
        <w:rPr>
          <w:rFonts w:hint="default"/>
        </w:rPr>
      </w:lvl>
    </w:lvlOverride>
    <w:lvlOverride w:ilvl="1">
      <w:lvl w:ilvl="1">
        <w:start w:val="1"/>
        <w:numFmt w:val="lowerLetter"/>
        <w:lvlText w:val="%2."/>
        <w:lvlJc w:val="left"/>
        <w:pPr>
          <w:ind w:left="908" w:hanging="454"/>
        </w:pPr>
        <w:rPr>
          <w:rFonts w:hint="default"/>
        </w:rPr>
      </w:lvl>
    </w:lvlOverride>
    <w:lvlOverride w:ilvl="2">
      <w:lvl w:ilvl="2">
        <w:start w:val="1"/>
        <w:numFmt w:val="lowerRoman"/>
        <w:lvlText w:val="%3."/>
        <w:lvlJc w:val="left"/>
        <w:pPr>
          <w:tabs>
            <w:tab w:val="num" w:pos="5103"/>
          </w:tabs>
          <w:ind w:left="1362" w:hanging="454"/>
        </w:pPr>
        <w:rPr>
          <w:rFonts w:hint="default"/>
        </w:rPr>
      </w:lvl>
    </w:lvlOverride>
    <w:lvlOverride w:ilvl="3">
      <w:lvl w:ilvl="3">
        <w:start w:val="1"/>
        <w:numFmt w:val="decimal"/>
        <w:lvlText w:val="%4."/>
        <w:lvlJc w:val="left"/>
        <w:pPr>
          <w:ind w:left="1816" w:hanging="454"/>
        </w:pPr>
        <w:rPr>
          <w:rFonts w:hint="default"/>
        </w:rPr>
      </w:lvl>
    </w:lvlOverride>
    <w:lvlOverride w:ilvl="4">
      <w:lvl w:ilvl="4">
        <w:start w:val="1"/>
        <w:numFmt w:val="lowerLetter"/>
        <w:lvlText w:val="%5."/>
        <w:lvlJc w:val="left"/>
        <w:pPr>
          <w:ind w:left="2270" w:hanging="454"/>
        </w:pPr>
        <w:rPr>
          <w:rFonts w:hint="default"/>
        </w:rPr>
      </w:lvl>
    </w:lvlOverride>
    <w:lvlOverride w:ilvl="5">
      <w:lvl w:ilvl="5">
        <w:start w:val="1"/>
        <w:numFmt w:val="lowerRoman"/>
        <w:lvlText w:val="%6."/>
        <w:lvlJc w:val="left"/>
        <w:pPr>
          <w:ind w:left="2724" w:hanging="454"/>
        </w:pPr>
        <w:rPr>
          <w:rFonts w:hint="default"/>
        </w:rPr>
      </w:lvl>
    </w:lvlOverride>
    <w:lvlOverride w:ilvl="6">
      <w:lvl w:ilvl="6">
        <w:start w:val="1"/>
        <w:numFmt w:val="decimal"/>
        <w:lvlText w:val="%7."/>
        <w:lvlJc w:val="left"/>
        <w:pPr>
          <w:ind w:left="3178" w:hanging="454"/>
        </w:pPr>
        <w:rPr>
          <w:rFonts w:hint="default"/>
        </w:rPr>
      </w:lvl>
    </w:lvlOverride>
    <w:lvlOverride w:ilvl="7">
      <w:lvl w:ilvl="7">
        <w:start w:val="1"/>
        <w:numFmt w:val="lowerLetter"/>
        <w:lvlText w:val="%8."/>
        <w:lvlJc w:val="left"/>
        <w:pPr>
          <w:ind w:left="3632" w:hanging="454"/>
        </w:pPr>
        <w:rPr>
          <w:rFonts w:hint="default"/>
        </w:rPr>
      </w:lvl>
    </w:lvlOverride>
    <w:lvlOverride w:ilvl="8">
      <w:lvl w:ilvl="8">
        <w:start w:val="1"/>
        <w:numFmt w:val="lowerRoman"/>
        <w:lvlText w:val="%9."/>
        <w:lvlJc w:val="left"/>
        <w:pPr>
          <w:ind w:left="4086" w:hanging="454"/>
        </w:pPr>
        <w:rPr>
          <w:rFonts w:hint="default"/>
        </w:rPr>
      </w:lvl>
    </w:lvlOverride>
  </w:num>
  <w:num w:numId="45">
    <w:abstractNumId w:val="10"/>
  </w:num>
  <w:num w:numId="46">
    <w:abstractNumId w:val="15"/>
  </w:num>
  <w:num w:numId="4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9F1EE5"/>
    <w:rsid w:val="000030E7"/>
    <w:rsid w:val="00003406"/>
    <w:rsid w:val="00004825"/>
    <w:rsid w:val="00011C70"/>
    <w:rsid w:val="000129C5"/>
    <w:rsid w:val="00016416"/>
    <w:rsid w:val="00021C21"/>
    <w:rsid w:val="000232B6"/>
    <w:rsid w:val="00023660"/>
    <w:rsid w:val="00030286"/>
    <w:rsid w:val="00033A6C"/>
    <w:rsid w:val="00034625"/>
    <w:rsid w:val="000502B8"/>
    <w:rsid w:val="000518AD"/>
    <w:rsid w:val="0006002B"/>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25AF7"/>
    <w:rsid w:val="00131602"/>
    <w:rsid w:val="00135AD1"/>
    <w:rsid w:val="00137633"/>
    <w:rsid w:val="00141F7B"/>
    <w:rsid w:val="00163FAC"/>
    <w:rsid w:val="00174E34"/>
    <w:rsid w:val="0018092A"/>
    <w:rsid w:val="00182104"/>
    <w:rsid w:val="00187A46"/>
    <w:rsid w:val="00195082"/>
    <w:rsid w:val="001950DA"/>
    <w:rsid w:val="001A1D9D"/>
    <w:rsid w:val="001A40AE"/>
    <w:rsid w:val="001B050E"/>
    <w:rsid w:val="001B44F1"/>
    <w:rsid w:val="001B5B7B"/>
    <w:rsid w:val="001C5C7E"/>
    <w:rsid w:val="001E2B3A"/>
    <w:rsid w:val="001E4031"/>
    <w:rsid w:val="001F002E"/>
    <w:rsid w:val="001F594C"/>
    <w:rsid w:val="00200063"/>
    <w:rsid w:val="00200C5D"/>
    <w:rsid w:val="002037AD"/>
    <w:rsid w:val="0020541A"/>
    <w:rsid w:val="00207B7C"/>
    <w:rsid w:val="00216ED9"/>
    <w:rsid w:val="002255A0"/>
    <w:rsid w:val="00227CC6"/>
    <w:rsid w:val="0023128B"/>
    <w:rsid w:val="00235FC3"/>
    <w:rsid w:val="00236A46"/>
    <w:rsid w:val="00236E2A"/>
    <w:rsid w:val="002405B3"/>
    <w:rsid w:val="0024265D"/>
    <w:rsid w:val="00243B14"/>
    <w:rsid w:val="00245AB6"/>
    <w:rsid w:val="002506AC"/>
    <w:rsid w:val="0025661F"/>
    <w:rsid w:val="00263711"/>
    <w:rsid w:val="00265CD1"/>
    <w:rsid w:val="002733FD"/>
    <w:rsid w:val="00275F13"/>
    <w:rsid w:val="00290B7A"/>
    <w:rsid w:val="0029361E"/>
    <w:rsid w:val="002B1645"/>
    <w:rsid w:val="002B238E"/>
    <w:rsid w:val="002B53A4"/>
    <w:rsid w:val="002B5D63"/>
    <w:rsid w:val="002B6AD3"/>
    <w:rsid w:val="002B7A98"/>
    <w:rsid w:val="002C2D9E"/>
    <w:rsid w:val="002C3E0A"/>
    <w:rsid w:val="002C45AA"/>
    <w:rsid w:val="002D5463"/>
    <w:rsid w:val="002E2DD0"/>
    <w:rsid w:val="002E48C4"/>
    <w:rsid w:val="002E5E90"/>
    <w:rsid w:val="002F41D6"/>
    <w:rsid w:val="00311205"/>
    <w:rsid w:val="00313F8B"/>
    <w:rsid w:val="003164E1"/>
    <w:rsid w:val="00317E5C"/>
    <w:rsid w:val="00321405"/>
    <w:rsid w:val="003225CA"/>
    <w:rsid w:val="00323D77"/>
    <w:rsid w:val="00335DF2"/>
    <w:rsid w:val="00337AC2"/>
    <w:rsid w:val="00341465"/>
    <w:rsid w:val="0036145B"/>
    <w:rsid w:val="00364256"/>
    <w:rsid w:val="003735FE"/>
    <w:rsid w:val="00380210"/>
    <w:rsid w:val="00381ED2"/>
    <w:rsid w:val="00383FC5"/>
    <w:rsid w:val="00386866"/>
    <w:rsid w:val="00390415"/>
    <w:rsid w:val="003975D1"/>
    <w:rsid w:val="003A3387"/>
    <w:rsid w:val="003A606D"/>
    <w:rsid w:val="003C2180"/>
    <w:rsid w:val="003C6E64"/>
    <w:rsid w:val="003C7CD1"/>
    <w:rsid w:val="003C7F34"/>
    <w:rsid w:val="003D7028"/>
    <w:rsid w:val="0040210F"/>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111"/>
    <w:rsid w:val="004C47B7"/>
    <w:rsid w:val="004C59AD"/>
    <w:rsid w:val="004D3758"/>
    <w:rsid w:val="004D3CAA"/>
    <w:rsid w:val="004D66E3"/>
    <w:rsid w:val="004D7B04"/>
    <w:rsid w:val="004E122E"/>
    <w:rsid w:val="004E4379"/>
    <w:rsid w:val="004E468C"/>
    <w:rsid w:val="004F3A45"/>
    <w:rsid w:val="004F3CBF"/>
    <w:rsid w:val="004F6633"/>
    <w:rsid w:val="004F6D38"/>
    <w:rsid w:val="004F7D9D"/>
    <w:rsid w:val="00501796"/>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C6085"/>
    <w:rsid w:val="005C741B"/>
    <w:rsid w:val="005D015D"/>
    <w:rsid w:val="005F7C2A"/>
    <w:rsid w:val="00616493"/>
    <w:rsid w:val="00623C8B"/>
    <w:rsid w:val="00630623"/>
    <w:rsid w:val="0063250D"/>
    <w:rsid w:val="00634BB6"/>
    <w:rsid w:val="00635BBC"/>
    <w:rsid w:val="00655883"/>
    <w:rsid w:val="0065743E"/>
    <w:rsid w:val="006579A4"/>
    <w:rsid w:val="00663669"/>
    <w:rsid w:val="00664143"/>
    <w:rsid w:val="00664332"/>
    <w:rsid w:val="006651FB"/>
    <w:rsid w:val="0068115C"/>
    <w:rsid w:val="00684A8A"/>
    <w:rsid w:val="00690065"/>
    <w:rsid w:val="00690DF9"/>
    <w:rsid w:val="006A6CCE"/>
    <w:rsid w:val="006A784D"/>
    <w:rsid w:val="006B21DE"/>
    <w:rsid w:val="006D24F0"/>
    <w:rsid w:val="006E2FEC"/>
    <w:rsid w:val="006E7AC6"/>
    <w:rsid w:val="006F2B18"/>
    <w:rsid w:val="006F4749"/>
    <w:rsid w:val="00702C64"/>
    <w:rsid w:val="007073D8"/>
    <w:rsid w:val="0071015B"/>
    <w:rsid w:val="0071066E"/>
    <w:rsid w:val="007125CA"/>
    <w:rsid w:val="00715310"/>
    <w:rsid w:val="00717E98"/>
    <w:rsid w:val="00731172"/>
    <w:rsid w:val="00750652"/>
    <w:rsid w:val="00751EB6"/>
    <w:rsid w:val="00756DF9"/>
    <w:rsid w:val="00763B8F"/>
    <w:rsid w:val="00765309"/>
    <w:rsid w:val="00767423"/>
    <w:rsid w:val="007679C2"/>
    <w:rsid w:val="00771090"/>
    <w:rsid w:val="00773866"/>
    <w:rsid w:val="00776647"/>
    <w:rsid w:val="00780A69"/>
    <w:rsid w:val="00792A4F"/>
    <w:rsid w:val="007A52F1"/>
    <w:rsid w:val="007A5A66"/>
    <w:rsid w:val="007A7C74"/>
    <w:rsid w:val="007C008D"/>
    <w:rsid w:val="007C257B"/>
    <w:rsid w:val="007C75AF"/>
    <w:rsid w:val="007D433E"/>
    <w:rsid w:val="007D606D"/>
    <w:rsid w:val="007E1A9E"/>
    <w:rsid w:val="007E3377"/>
    <w:rsid w:val="007E6186"/>
    <w:rsid w:val="00812AE6"/>
    <w:rsid w:val="008130C7"/>
    <w:rsid w:val="00814DA3"/>
    <w:rsid w:val="008245C8"/>
    <w:rsid w:val="00824A0D"/>
    <w:rsid w:val="0083180E"/>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C669F"/>
    <w:rsid w:val="008D3354"/>
    <w:rsid w:val="008D3A7A"/>
    <w:rsid w:val="008E082E"/>
    <w:rsid w:val="008E5C31"/>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1F22"/>
    <w:rsid w:val="009E276D"/>
    <w:rsid w:val="009E2F98"/>
    <w:rsid w:val="009E4B00"/>
    <w:rsid w:val="009E7680"/>
    <w:rsid w:val="009F028C"/>
    <w:rsid w:val="009F1EE5"/>
    <w:rsid w:val="009F718F"/>
    <w:rsid w:val="009F7D61"/>
    <w:rsid w:val="00A0763D"/>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7090F"/>
    <w:rsid w:val="00A729D3"/>
    <w:rsid w:val="00A76FB4"/>
    <w:rsid w:val="00A92154"/>
    <w:rsid w:val="00A94032"/>
    <w:rsid w:val="00A95674"/>
    <w:rsid w:val="00AA1B0E"/>
    <w:rsid w:val="00AA246B"/>
    <w:rsid w:val="00AA7116"/>
    <w:rsid w:val="00AB1652"/>
    <w:rsid w:val="00AB66FE"/>
    <w:rsid w:val="00AC24EF"/>
    <w:rsid w:val="00AC51AD"/>
    <w:rsid w:val="00AC7813"/>
    <w:rsid w:val="00AD2349"/>
    <w:rsid w:val="00AE0E81"/>
    <w:rsid w:val="00AF317E"/>
    <w:rsid w:val="00AF3217"/>
    <w:rsid w:val="00AF5C66"/>
    <w:rsid w:val="00B02582"/>
    <w:rsid w:val="00B06308"/>
    <w:rsid w:val="00B07821"/>
    <w:rsid w:val="00B12E1C"/>
    <w:rsid w:val="00B14AD1"/>
    <w:rsid w:val="00B2436E"/>
    <w:rsid w:val="00B2532F"/>
    <w:rsid w:val="00B35133"/>
    <w:rsid w:val="00B46008"/>
    <w:rsid w:val="00B463BC"/>
    <w:rsid w:val="00B548E2"/>
    <w:rsid w:val="00B71278"/>
    <w:rsid w:val="00B83A80"/>
    <w:rsid w:val="00B90200"/>
    <w:rsid w:val="00B91CC3"/>
    <w:rsid w:val="00BA61BC"/>
    <w:rsid w:val="00BB5293"/>
    <w:rsid w:val="00BC1BFA"/>
    <w:rsid w:val="00BC23C3"/>
    <w:rsid w:val="00BD1E00"/>
    <w:rsid w:val="00BD3CF1"/>
    <w:rsid w:val="00BE61F5"/>
    <w:rsid w:val="00BF5937"/>
    <w:rsid w:val="00BF78E4"/>
    <w:rsid w:val="00C0087C"/>
    <w:rsid w:val="00C024AD"/>
    <w:rsid w:val="00C02CF5"/>
    <w:rsid w:val="00C067A0"/>
    <w:rsid w:val="00C13296"/>
    <w:rsid w:val="00C216E7"/>
    <w:rsid w:val="00C24703"/>
    <w:rsid w:val="00C37D3F"/>
    <w:rsid w:val="00C4070A"/>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32BE"/>
    <w:rsid w:val="00CB480F"/>
    <w:rsid w:val="00CB5653"/>
    <w:rsid w:val="00CC64F6"/>
    <w:rsid w:val="00CF59B8"/>
    <w:rsid w:val="00D03ECF"/>
    <w:rsid w:val="00D04948"/>
    <w:rsid w:val="00D05C8F"/>
    <w:rsid w:val="00D126C2"/>
    <w:rsid w:val="00D16F36"/>
    <w:rsid w:val="00D22C0A"/>
    <w:rsid w:val="00D30449"/>
    <w:rsid w:val="00D33E44"/>
    <w:rsid w:val="00D40B5F"/>
    <w:rsid w:val="00D42FED"/>
    <w:rsid w:val="00D4368B"/>
    <w:rsid w:val="00D466EF"/>
    <w:rsid w:val="00D468F1"/>
    <w:rsid w:val="00D46EFB"/>
    <w:rsid w:val="00D47382"/>
    <w:rsid w:val="00D64FAA"/>
    <w:rsid w:val="00D70E9B"/>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5E5E"/>
    <w:rsid w:val="00DF6905"/>
    <w:rsid w:val="00DF739D"/>
    <w:rsid w:val="00E075A9"/>
    <w:rsid w:val="00E102C4"/>
    <w:rsid w:val="00E14ADB"/>
    <w:rsid w:val="00E15774"/>
    <w:rsid w:val="00E22BAE"/>
    <w:rsid w:val="00E26244"/>
    <w:rsid w:val="00E26D33"/>
    <w:rsid w:val="00E276E0"/>
    <w:rsid w:val="00E40266"/>
    <w:rsid w:val="00E4683A"/>
    <w:rsid w:val="00E52649"/>
    <w:rsid w:val="00E622A2"/>
    <w:rsid w:val="00E71B04"/>
    <w:rsid w:val="00E73322"/>
    <w:rsid w:val="00E814EB"/>
    <w:rsid w:val="00E96E89"/>
    <w:rsid w:val="00EA2B9D"/>
    <w:rsid w:val="00EA3DDC"/>
    <w:rsid w:val="00EB4FA1"/>
    <w:rsid w:val="00EB63D1"/>
    <w:rsid w:val="00EC00B9"/>
    <w:rsid w:val="00EC395C"/>
    <w:rsid w:val="00EC64C9"/>
    <w:rsid w:val="00ED188F"/>
    <w:rsid w:val="00EE7AD3"/>
    <w:rsid w:val="00EF0A3E"/>
    <w:rsid w:val="00EF2AE2"/>
    <w:rsid w:val="00F02A90"/>
    <w:rsid w:val="00F06C7F"/>
    <w:rsid w:val="00F11CCA"/>
    <w:rsid w:val="00F15E90"/>
    <w:rsid w:val="00F2122E"/>
    <w:rsid w:val="00F249CB"/>
    <w:rsid w:val="00F25FC4"/>
    <w:rsid w:val="00F35752"/>
    <w:rsid w:val="00F3704C"/>
    <w:rsid w:val="00F4212E"/>
    <w:rsid w:val="00F42C04"/>
    <w:rsid w:val="00F46F1B"/>
    <w:rsid w:val="00F51369"/>
    <w:rsid w:val="00F60EB4"/>
    <w:rsid w:val="00F6247F"/>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6B68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F1EE5"/>
    <w:pPr>
      <w:spacing w:line="280" w:lineRule="exact"/>
    </w:pPr>
    <w:rPr>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9947-39A5-4FCA-9852-EB043E48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Pages>
  <Words>210</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2019-11-26T12:13:00Z</dcterms:created>
  <dcterms:modified xsi:type="dcterms:W3CDTF">2019-11-26T12:13:00Z</dcterms:modified>
</cp:coreProperties>
</file>