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CAD53" w14:textId="56BFF593" w:rsidR="00EB1567" w:rsidRPr="00EB1567" w:rsidRDefault="00105647" w:rsidP="002A01E5">
      <w:pPr>
        <w:pStyle w:val="Lijstalinea"/>
        <w:numPr>
          <w:ilvl w:val="0"/>
          <w:numId w:val="0"/>
        </w:numPr>
        <w:spacing w:line="280" w:lineRule="atLeast"/>
        <w:ind w:left="360"/>
        <w:rPr>
          <w:b/>
          <w:u w:val="single"/>
        </w:rPr>
      </w:pPr>
      <w:r w:rsidRPr="000D59CA">
        <w:rPr>
          <w:b/>
        </w:rPr>
        <w:t xml:space="preserve">Samenvatting </w:t>
      </w:r>
      <w:r w:rsidR="004D25DB" w:rsidRPr="000D59CA">
        <w:rPr>
          <w:b/>
        </w:rPr>
        <w:t>en pre</w:t>
      </w:r>
      <w:r w:rsidR="00345FD5" w:rsidRPr="000D59CA">
        <w:rPr>
          <w:b/>
        </w:rPr>
        <w:t xml:space="preserve">advies </w:t>
      </w:r>
      <w:r w:rsidRPr="000D59CA">
        <w:rPr>
          <w:b/>
        </w:rPr>
        <w:t>motie</w:t>
      </w:r>
      <w:r w:rsidR="00345FD5" w:rsidRPr="00EB1567">
        <w:rPr>
          <w:b/>
          <w:u w:val="single"/>
        </w:rPr>
        <w:t xml:space="preserve"> </w:t>
      </w:r>
      <w:r w:rsidR="002D1391">
        <w:rPr>
          <w:b/>
          <w:u w:val="single"/>
        </w:rPr>
        <w:t>‘</w:t>
      </w:r>
      <w:r w:rsidR="00DB6AA0" w:rsidRPr="006D1704">
        <w:rPr>
          <w:b/>
          <w:i/>
        </w:rPr>
        <w:t>Garantie op financiële randvoorwaarden nodig om uitvoering door gemeenten over de gehele eerste tranche tot 2030 nu te starten</w:t>
      </w:r>
      <w:r w:rsidR="00C846D2">
        <w:rPr>
          <w:b/>
          <w:u w:val="single"/>
        </w:rPr>
        <w:t>’</w:t>
      </w:r>
    </w:p>
    <w:p w14:paraId="540FCCC9" w14:textId="77777777" w:rsidR="00715E70" w:rsidRDefault="00105647" w:rsidP="00715E70">
      <w:pPr>
        <w:pStyle w:val="Lijstalinea"/>
        <w:numPr>
          <w:ilvl w:val="0"/>
          <w:numId w:val="0"/>
        </w:numPr>
        <w:spacing w:line="280" w:lineRule="atLeast"/>
        <w:ind w:left="360"/>
      </w:pPr>
      <w:r w:rsidRPr="0083787B">
        <w:rPr>
          <w:b/>
        </w:rPr>
        <w:br/>
        <w:t>Indienende gemeente</w:t>
      </w:r>
      <w:r w:rsidR="00EB1567">
        <w:rPr>
          <w:b/>
        </w:rPr>
        <w:t>:</w:t>
      </w:r>
      <w:r w:rsidR="002D1391" w:rsidRPr="002D1391">
        <w:t xml:space="preserve"> Zaanstad</w:t>
      </w:r>
    </w:p>
    <w:p w14:paraId="3B5A6E0A" w14:textId="77777777" w:rsidR="00715E70" w:rsidRDefault="00715E70" w:rsidP="00715E70">
      <w:pPr>
        <w:pStyle w:val="Lijstalinea"/>
        <w:numPr>
          <w:ilvl w:val="0"/>
          <w:numId w:val="0"/>
        </w:numPr>
        <w:spacing w:line="280" w:lineRule="atLeast"/>
        <w:ind w:left="360"/>
        <w:rPr>
          <w:b/>
        </w:rPr>
      </w:pPr>
      <w:bookmarkStart w:id="0" w:name="_GoBack"/>
      <w:bookmarkEnd w:id="0"/>
    </w:p>
    <w:p w14:paraId="6CCA78CC" w14:textId="024054BD" w:rsidR="002A01E5" w:rsidRPr="00715E70" w:rsidRDefault="00105647" w:rsidP="00715E70">
      <w:pPr>
        <w:pStyle w:val="Lijstalinea"/>
        <w:numPr>
          <w:ilvl w:val="0"/>
          <w:numId w:val="0"/>
        </w:numPr>
        <w:spacing w:line="280" w:lineRule="atLeast"/>
        <w:ind w:left="360"/>
        <w:rPr>
          <w:b/>
        </w:rPr>
      </w:pPr>
      <w:r w:rsidRPr="00715E70">
        <w:rPr>
          <w:b/>
        </w:rPr>
        <w:t>Ondersteunende gemeenten</w:t>
      </w:r>
      <w:r w:rsidR="002A01E5">
        <w:t>:</w:t>
      </w:r>
      <w:r w:rsidR="002D1391">
        <w:t xml:space="preserve"> </w:t>
      </w:r>
      <w:r w:rsidR="00C846D2">
        <w:t xml:space="preserve">zie motie. </w:t>
      </w:r>
    </w:p>
    <w:p w14:paraId="2E890EF7" w14:textId="78C5CA18" w:rsidR="003E5CF1" w:rsidRDefault="00105647" w:rsidP="002A01E5">
      <w:pPr>
        <w:pStyle w:val="Lijstalinea"/>
        <w:numPr>
          <w:ilvl w:val="0"/>
          <w:numId w:val="0"/>
        </w:numPr>
        <w:spacing w:line="280" w:lineRule="atLeast"/>
        <w:ind w:left="360"/>
      </w:pPr>
      <w:r>
        <w:rPr>
          <w:b/>
        </w:rPr>
        <w:br/>
        <w:t xml:space="preserve">Status motie: </w:t>
      </w:r>
      <w:r w:rsidR="00734714">
        <w:t>Definitief</w:t>
      </w:r>
      <w:r w:rsidR="003E5CF1">
        <w:t xml:space="preserve"> </w:t>
      </w:r>
    </w:p>
    <w:p w14:paraId="6D49C22A" w14:textId="440D5593" w:rsidR="00C2616D" w:rsidRDefault="00345FD5" w:rsidP="003E5CF1">
      <w:pPr>
        <w:pStyle w:val="Lijstalinea"/>
        <w:numPr>
          <w:ilvl w:val="0"/>
          <w:numId w:val="0"/>
        </w:numPr>
        <w:spacing w:line="280" w:lineRule="atLeast"/>
        <w:ind w:left="360"/>
        <w:rPr>
          <w:b/>
        </w:rPr>
      </w:pPr>
      <w:r w:rsidRPr="00345FD5">
        <w:rPr>
          <w:b/>
        </w:rPr>
        <w:br/>
        <w:t>Strekking van de moti</w:t>
      </w:r>
      <w:r w:rsidR="008B4EE9">
        <w:rPr>
          <w:b/>
        </w:rPr>
        <w:t>e</w:t>
      </w:r>
    </w:p>
    <w:p w14:paraId="5B0FE016" w14:textId="0DE1736B" w:rsidR="00345FD5" w:rsidRDefault="00C2616D" w:rsidP="00C2616D">
      <w:pPr>
        <w:pStyle w:val="Lijstalinea"/>
        <w:numPr>
          <w:ilvl w:val="0"/>
          <w:numId w:val="0"/>
        </w:numPr>
        <w:spacing w:line="280" w:lineRule="atLeast"/>
        <w:ind w:left="360"/>
      </w:pPr>
      <w:r w:rsidRPr="008B4EE9">
        <w:t xml:space="preserve">De motie </w:t>
      </w:r>
      <w:r w:rsidR="001F19EB">
        <w:t xml:space="preserve">constateert dat de ambities van het Klimaatakkoord gedeeld worden en overeenkomen met de ambities van gemeenten. Hij gaat verder in op de kosten die gemeenten moeten gaan maken en de onzekerheden die gemoeid zijn met de uitkomsten van het Artikel 2 onderzoek. Voorts geeft de motie aan dat de opstapeling van taken bij gemeenten ervoor zorgt dat gemeenten ruimte willen houden om, op basis van nieuwe afspraken </w:t>
      </w:r>
      <w:proofErr w:type="spellStart"/>
      <w:r w:rsidR="001F19EB">
        <w:t>nav</w:t>
      </w:r>
      <w:proofErr w:type="spellEnd"/>
      <w:r w:rsidR="001F19EB">
        <w:t xml:space="preserve"> het Artikel 2 onderzoek, de afspraken uit het klimaatakkoord als onuitvoerbaar te bestempelen. </w:t>
      </w:r>
    </w:p>
    <w:p w14:paraId="14AA8C36" w14:textId="6DD1B8B3" w:rsidR="00C2616D" w:rsidRDefault="00C2616D" w:rsidP="00C2616D">
      <w:pPr>
        <w:pStyle w:val="Lijstalinea"/>
        <w:numPr>
          <w:ilvl w:val="0"/>
          <w:numId w:val="0"/>
        </w:numPr>
        <w:spacing w:line="280" w:lineRule="atLeast"/>
        <w:ind w:left="360"/>
      </w:pPr>
    </w:p>
    <w:p w14:paraId="234FF598" w14:textId="0C4CD22F" w:rsidR="008B4EE9" w:rsidRDefault="00C2616D" w:rsidP="00C2616D">
      <w:pPr>
        <w:pStyle w:val="Lijstalinea"/>
        <w:numPr>
          <w:ilvl w:val="0"/>
          <w:numId w:val="0"/>
        </w:numPr>
        <w:spacing w:line="280" w:lineRule="atLeast"/>
        <w:ind w:left="360"/>
      </w:pPr>
      <w:r>
        <w:t>Om tot uitvoering te komen van bovenstaande, wordt het bestuur opgedragen</w:t>
      </w:r>
      <w:r w:rsidR="008B4EE9">
        <w:t xml:space="preserve">: </w:t>
      </w:r>
    </w:p>
    <w:p w14:paraId="04FA013B" w14:textId="77777777" w:rsidR="001F19EB" w:rsidRDefault="001F19EB" w:rsidP="00C2616D">
      <w:pPr>
        <w:pStyle w:val="Lijstalinea"/>
        <w:numPr>
          <w:ilvl w:val="0"/>
          <w:numId w:val="0"/>
        </w:numPr>
        <w:spacing w:line="280" w:lineRule="atLeast"/>
        <w:ind w:left="360"/>
      </w:pPr>
    </w:p>
    <w:p w14:paraId="5F22F8EE" w14:textId="77777777" w:rsidR="001F19EB" w:rsidRDefault="001F19EB" w:rsidP="001F19EB">
      <w:pPr>
        <w:numPr>
          <w:ilvl w:val="0"/>
          <w:numId w:val="10"/>
        </w:numPr>
        <w:spacing w:line="255" w:lineRule="auto"/>
      </w:pPr>
      <w:r>
        <w:t xml:space="preserve">met het Klimaatakkoord in te stemmen waarbij de borging van essentiële randvoorwaarden voor gemeenten </w:t>
      </w:r>
      <w:r>
        <w:rPr>
          <w:bCs/>
        </w:rPr>
        <w:t>voorwaardelijk</w:t>
      </w:r>
      <w:r>
        <w:t> is voor de uitvoering van het klimaatakkoord en het halen van de nationale doelen;</w:t>
      </w:r>
    </w:p>
    <w:p w14:paraId="5BB4A07F" w14:textId="77777777" w:rsidR="001F19EB" w:rsidRPr="002824BB" w:rsidRDefault="001F19EB" w:rsidP="001F19EB">
      <w:pPr>
        <w:numPr>
          <w:ilvl w:val="0"/>
          <w:numId w:val="10"/>
        </w:numPr>
        <w:spacing w:line="255" w:lineRule="auto"/>
      </w:pPr>
      <w:r w:rsidRPr="002824BB">
        <w:t>in het vervolgproces naar het Rijk duidelijk te maken dat er na het artikel 2-onderzoek  voldoende financiële middelen komen voor gemeenten om de volledige uitvoeringskosten te dekken;</w:t>
      </w:r>
    </w:p>
    <w:p w14:paraId="3B7E0067" w14:textId="77777777" w:rsidR="001F19EB" w:rsidRDefault="001F19EB" w:rsidP="001F19EB">
      <w:pPr>
        <w:numPr>
          <w:ilvl w:val="0"/>
          <w:numId w:val="10"/>
        </w:numPr>
        <w:spacing w:line="255" w:lineRule="auto"/>
      </w:pPr>
      <w:r>
        <w:t>met het Rijk in gesprek te gaan over de uitvoering van het Klimaatakkoord om zowel de financiële (o.a. uitvoeringskosten en financiering van onrendabele toppen) als de wettelijke randvoorwaarden voor gemeenten te borgen en dit vast te leggen in interbestuurlijke afspraken;</w:t>
      </w:r>
    </w:p>
    <w:p w14:paraId="6BE24835" w14:textId="77777777" w:rsidR="001F19EB" w:rsidRPr="006D1704" w:rsidRDefault="001F19EB" w:rsidP="001F19EB">
      <w:pPr>
        <w:numPr>
          <w:ilvl w:val="0"/>
          <w:numId w:val="10"/>
        </w:numPr>
        <w:spacing w:line="255" w:lineRule="auto"/>
      </w:pPr>
      <w:r w:rsidRPr="006D1704">
        <w:t>over de voortgang te rapporteren tijdens de algemene ledenvergadering van juni 2020;</w:t>
      </w:r>
    </w:p>
    <w:p w14:paraId="62F8FC75" w14:textId="77777777" w:rsidR="001F19EB" w:rsidRPr="006D1704" w:rsidRDefault="001F19EB" w:rsidP="001F19EB">
      <w:pPr>
        <w:numPr>
          <w:ilvl w:val="0"/>
          <w:numId w:val="10"/>
        </w:numPr>
        <w:spacing w:line="255" w:lineRule="auto"/>
      </w:pPr>
      <w:r w:rsidRPr="006D1704">
        <w:t xml:space="preserve">uiterlijk op de algemene ledenvergadering van 2021 over het artikel 2-onderzoek en de voortgang van het Klimaatakkoord te rapporteren. </w:t>
      </w:r>
    </w:p>
    <w:p w14:paraId="4DE50DA4" w14:textId="77777777" w:rsidR="002D1391" w:rsidRPr="00345FD5" w:rsidRDefault="002D1391" w:rsidP="00345FD5">
      <w:pPr>
        <w:spacing w:line="280" w:lineRule="atLeast"/>
        <w:ind w:left="360"/>
        <w:contextualSpacing/>
      </w:pPr>
    </w:p>
    <w:p w14:paraId="795FB77E" w14:textId="173EFFCD" w:rsidR="00345FD5" w:rsidRPr="00345FD5" w:rsidRDefault="00345FD5" w:rsidP="00345FD5">
      <w:pPr>
        <w:spacing w:line="280" w:lineRule="atLeast"/>
        <w:ind w:left="360"/>
        <w:contextualSpacing/>
      </w:pPr>
      <w:r w:rsidRPr="00345FD5">
        <w:rPr>
          <w:b/>
        </w:rPr>
        <w:t>Preadvies VNG-bestuur:</w:t>
      </w:r>
      <w:r w:rsidRPr="00345FD5">
        <w:t xml:space="preserve"> </w:t>
      </w:r>
      <w:r w:rsidR="00C846D2">
        <w:t xml:space="preserve"> overnemen. </w:t>
      </w:r>
    </w:p>
    <w:p w14:paraId="680F4958" w14:textId="77777777" w:rsidR="008B3F5D" w:rsidRDefault="008B3F5D" w:rsidP="00345FD5">
      <w:pPr>
        <w:spacing w:line="280" w:lineRule="atLeast"/>
        <w:ind w:left="360"/>
        <w:contextualSpacing/>
        <w:rPr>
          <w:b/>
        </w:rPr>
      </w:pPr>
    </w:p>
    <w:p w14:paraId="4FB42D14" w14:textId="77777777" w:rsidR="008B4EE9" w:rsidRDefault="00345FD5" w:rsidP="00E72DCA">
      <w:pPr>
        <w:spacing w:line="280" w:lineRule="atLeast"/>
        <w:ind w:left="360"/>
        <w:contextualSpacing/>
        <w:rPr>
          <w:b/>
        </w:rPr>
      </w:pPr>
      <w:r w:rsidRPr="00345FD5">
        <w:rPr>
          <w:b/>
        </w:rPr>
        <w:t>Toelichting</w:t>
      </w:r>
      <w:r w:rsidR="00EB1567">
        <w:rPr>
          <w:b/>
        </w:rPr>
        <w:t xml:space="preserve"> bij het preadvies</w:t>
      </w:r>
      <w:r>
        <w:rPr>
          <w:b/>
        </w:rPr>
        <w:t xml:space="preserve"> </w:t>
      </w:r>
    </w:p>
    <w:p w14:paraId="76CA46B4" w14:textId="7138DEF0" w:rsidR="00B273B7" w:rsidRDefault="008B4EE9" w:rsidP="00B273B7">
      <w:pPr>
        <w:spacing w:line="280" w:lineRule="atLeast"/>
        <w:ind w:left="360"/>
        <w:contextualSpacing/>
      </w:pPr>
      <w:r>
        <w:t xml:space="preserve">Het bestuur onderschrijft </w:t>
      </w:r>
      <w:r w:rsidR="00B273B7">
        <w:t>het dictum en de vraag die aan haar gesteld wordt bij deze motie. De indien</w:t>
      </w:r>
      <w:r w:rsidR="00C846D2">
        <w:t>en</w:t>
      </w:r>
      <w:r w:rsidR="00B273B7">
        <w:t xml:space="preserve">de gemeenten delen het advies van het VNG bestuur: nu van start gaan met de afspraken uit het Klimaatakkoord maar ruimte houden om het tempo </w:t>
      </w:r>
      <w:r w:rsidR="008236AE">
        <w:t>aan te passen op basis</w:t>
      </w:r>
      <w:r w:rsidR="00B273B7">
        <w:t xml:space="preserve"> van het al dan niet komen tot goede interbestuurlijke afspraken op de nog openstaande randvoorwaarden.</w:t>
      </w:r>
      <w:r w:rsidR="008236AE">
        <w:t xml:space="preserve"> </w:t>
      </w:r>
    </w:p>
    <w:p w14:paraId="69A0A30C" w14:textId="457B0AC0" w:rsidR="006C582D" w:rsidRDefault="006C582D" w:rsidP="006C582D">
      <w:pPr>
        <w:spacing w:line="280" w:lineRule="atLeast"/>
        <w:ind w:left="360"/>
        <w:contextualSpacing/>
      </w:pPr>
    </w:p>
    <w:sectPr w:rsidR="006C582D"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B5103"/>
    <w:multiLevelType w:val="hybridMultilevel"/>
    <w:tmpl w:val="4C70DE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B8185D"/>
    <w:multiLevelType w:val="hybridMultilevel"/>
    <w:tmpl w:val="9E804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803C82"/>
    <w:multiLevelType w:val="hybridMultilevel"/>
    <w:tmpl w:val="515CBF12"/>
    <w:lvl w:ilvl="0" w:tplc="0413000F">
      <w:start w:val="1"/>
      <w:numFmt w:val="decimal"/>
      <w:lvlText w:val="%1."/>
      <w:lvlJc w:val="left"/>
      <w:pPr>
        <w:ind w:left="72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DCB3BB6"/>
    <w:multiLevelType w:val="hybridMultilevel"/>
    <w:tmpl w:val="2500C786"/>
    <w:lvl w:ilvl="0" w:tplc="86D052E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618F0"/>
    <w:multiLevelType w:val="hybridMultilevel"/>
    <w:tmpl w:val="498AC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6F4275"/>
    <w:multiLevelType w:val="hybridMultilevel"/>
    <w:tmpl w:val="8EB2B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F16447"/>
    <w:multiLevelType w:val="hybridMultilevel"/>
    <w:tmpl w:val="560698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153F14"/>
    <w:multiLevelType w:val="hybridMultilevel"/>
    <w:tmpl w:val="918C3E6C"/>
    <w:lvl w:ilvl="0" w:tplc="C0086644">
      <w:start w:val="1"/>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67073917"/>
    <w:multiLevelType w:val="hybridMultilevel"/>
    <w:tmpl w:val="E782E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7"/>
  </w:num>
  <w:num w:numId="7">
    <w:abstractNumId w:val="1"/>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47"/>
    <w:rsid w:val="00042225"/>
    <w:rsid w:val="000463FF"/>
    <w:rsid w:val="00055D11"/>
    <w:rsid w:val="00092BA3"/>
    <w:rsid w:val="000D59CA"/>
    <w:rsid w:val="00105647"/>
    <w:rsid w:val="00132BCE"/>
    <w:rsid w:val="001F19EB"/>
    <w:rsid w:val="001F4A2C"/>
    <w:rsid w:val="00211D0C"/>
    <w:rsid w:val="00243969"/>
    <w:rsid w:val="00260AE0"/>
    <w:rsid w:val="002A01E5"/>
    <w:rsid w:val="002C1402"/>
    <w:rsid w:val="002D1391"/>
    <w:rsid w:val="002E6FDE"/>
    <w:rsid w:val="00331B6F"/>
    <w:rsid w:val="003356D7"/>
    <w:rsid w:val="00345FD5"/>
    <w:rsid w:val="00361004"/>
    <w:rsid w:val="00384172"/>
    <w:rsid w:val="0039338F"/>
    <w:rsid w:val="003B622D"/>
    <w:rsid w:val="003D0A19"/>
    <w:rsid w:val="003E5CF1"/>
    <w:rsid w:val="00400C69"/>
    <w:rsid w:val="00415E26"/>
    <w:rsid w:val="004339B0"/>
    <w:rsid w:val="00473805"/>
    <w:rsid w:val="00483AC5"/>
    <w:rsid w:val="0049473D"/>
    <w:rsid w:val="004B1ED7"/>
    <w:rsid w:val="004C78CE"/>
    <w:rsid w:val="004D25DB"/>
    <w:rsid w:val="005153DA"/>
    <w:rsid w:val="00515D98"/>
    <w:rsid w:val="00550D30"/>
    <w:rsid w:val="005B64F6"/>
    <w:rsid w:val="005F3538"/>
    <w:rsid w:val="0060414B"/>
    <w:rsid w:val="00687AFE"/>
    <w:rsid w:val="006C20BC"/>
    <w:rsid w:val="006C582D"/>
    <w:rsid w:val="006D7B40"/>
    <w:rsid w:val="00715E70"/>
    <w:rsid w:val="00734714"/>
    <w:rsid w:val="00751B77"/>
    <w:rsid w:val="00795002"/>
    <w:rsid w:val="008236AE"/>
    <w:rsid w:val="0083787B"/>
    <w:rsid w:val="008378D9"/>
    <w:rsid w:val="00840246"/>
    <w:rsid w:val="00850196"/>
    <w:rsid w:val="00861C4D"/>
    <w:rsid w:val="00885142"/>
    <w:rsid w:val="008B3F5D"/>
    <w:rsid w:val="008B4EE9"/>
    <w:rsid w:val="008F58D6"/>
    <w:rsid w:val="00931488"/>
    <w:rsid w:val="00A23CA4"/>
    <w:rsid w:val="00A34245"/>
    <w:rsid w:val="00B15499"/>
    <w:rsid w:val="00B16704"/>
    <w:rsid w:val="00B273B7"/>
    <w:rsid w:val="00B871A2"/>
    <w:rsid w:val="00B87520"/>
    <w:rsid w:val="00BB08FD"/>
    <w:rsid w:val="00BE09C6"/>
    <w:rsid w:val="00C212A4"/>
    <w:rsid w:val="00C2616D"/>
    <w:rsid w:val="00C846D2"/>
    <w:rsid w:val="00D32CBA"/>
    <w:rsid w:val="00D62770"/>
    <w:rsid w:val="00D62DCA"/>
    <w:rsid w:val="00D95ED9"/>
    <w:rsid w:val="00DB6AA0"/>
    <w:rsid w:val="00E72DCA"/>
    <w:rsid w:val="00EB1567"/>
    <w:rsid w:val="00F13AE1"/>
    <w:rsid w:val="00F16AC8"/>
    <w:rsid w:val="00F54E5D"/>
    <w:rsid w:val="00FA0075"/>
    <w:rsid w:val="00FB66CA"/>
    <w:rsid w:val="00FC14F8"/>
    <w:rsid w:val="00FF75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D5E1E"/>
  <w15:docId w15:val="{A4A33BDA-00A1-42A0-8557-01A8E5EA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05647"/>
    <w:pPr>
      <w:spacing w:line="280" w:lineRule="exact"/>
    </w:pPr>
    <w:rPr>
      <w:rFonts w:cs="Times New Roman"/>
      <w:iCs w:val="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2">
    <w:name w:val="heading 2"/>
    <w:basedOn w:val="Standaard"/>
    <w:next w:val="Standaard"/>
    <w:link w:val="Kop2Char"/>
    <w:uiPriority w:val="9"/>
    <w:unhideWhenUsed/>
    <w:qFormat/>
    <w:rsid w:val="002D1391"/>
    <w:pPr>
      <w:keepNext/>
      <w:keepLines/>
      <w:spacing w:before="40" w:line="280" w:lineRule="atLeast"/>
      <w:outlineLvl w:val="1"/>
    </w:pPr>
    <w:rPr>
      <w:rFonts w:asciiTheme="majorHAnsi" w:eastAsiaTheme="majorEastAsia" w:hAnsiTheme="majorHAnsi" w:cstheme="majorBidi"/>
      <w:color w:val="365F91" w:themeColor="accent1" w:themeShade="BF"/>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105647"/>
    <w:pPr>
      <w:numPr>
        <w:numId w:val="1"/>
      </w:numPr>
      <w:contextualSpacing/>
    </w:pPr>
  </w:style>
  <w:style w:type="paragraph" w:styleId="Ballontekst">
    <w:name w:val="Balloon Text"/>
    <w:basedOn w:val="Standaard"/>
    <w:link w:val="BallontekstChar"/>
    <w:semiHidden/>
    <w:unhideWhenUsed/>
    <w:rsid w:val="004C78C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4C78CE"/>
    <w:rPr>
      <w:rFonts w:ascii="Segoe UI" w:hAnsi="Segoe UI" w:cs="Segoe UI"/>
      <w:iCs w:val="0"/>
      <w:sz w:val="18"/>
      <w:szCs w:val="18"/>
      <w:lang w:eastAsia="en-US"/>
    </w:rPr>
  </w:style>
  <w:style w:type="character" w:styleId="Verwijzingopmerking">
    <w:name w:val="annotation reference"/>
    <w:basedOn w:val="Standaardalinea-lettertype"/>
    <w:semiHidden/>
    <w:unhideWhenUsed/>
    <w:rsid w:val="004C78CE"/>
    <w:rPr>
      <w:sz w:val="16"/>
      <w:szCs w:val="16"/>
    </w:rPr>
  </w:style>
  <w:style w:type="paragraph" w:styleId="Tekstopmerking">
    <w:name w:val="annotation text"/>
    <w:basedOn w:val="Standaard"/>
    <w:link w:val="TekstopmerkingChar"/>
    <w:semiHidden/>
    <w:unhideWhenUsed/>
    <w:rsid w:val="004C78CE"/>
    <w:pPr>
      <w:spacing w:line="240" w:lineRule="auto"/>
    </w:pPr>
  </w:style>
  <w:style w:type="character" w:customStyle="1" w:styleId="TekstopmerkingChar">
    <w:name w:val="Tekst opmerking Char"/>
    <w:basedOn w:val="Standaardalinea-lettertype"/>
    <w:link w:val="Tekstopmerking"/>
    <w:semiHidden/>
    <w:rsid w:val="004C78CE"/>
    <w:rPr>
      <w:rFonts w:cs="Times New Roman"/>
      <w:iCs w:val="0"/>
      <w:szCs w:val="20"/>
      <w:lang w:eastAsia="en-US"/>
    </w:rPr>
  </w:style>
  <w:style w:type="paragraph" w:styleId="Onderwerpvanopmerking">
    <w:name w:val="annotation subject"/>
    <w:basedOn w:val="Tekstopmerking"/>
    <w:next w:val="Tekstopmerking"/>
    <w:link w:val="OnderwerpvanopmerkingChar"/>
    <w:semiHidden/>
    <w:unhideWhenUsed/>
    <w:rsid w:val="004C78CE"/>
    <w:rPr>
      <w:b/>
      <w:bCs/>
    </w:rPr>
  </w:style>
  <w:style w:type="character" w:customStyle="1" w:styleId="OnderwerpvanopmerkingChar">
    <w:name w:val="Onderwerp van opmerking Char"/>
    <w:basedOn w:val="TekstopmerkingChar"/>
    <w:link w:val="Onderwerpvanopmerking"/>
    <w:semiHidden/>
    <w:rsid w:val="004C78CE"/>
    <w:rPr>
      <w:rFonts w:cs="Times New Roman"/>
      <w:b/>
      <w:bCs/>
      <w:iCs w:val="0"/>
      <w:szCs w:val="20"/>
      <w:lang w:eastAsia="en-US"/>
    </w:rPr>
  </w:style>
  <w:style w:type="character" w:customStyle="1" w:styleId="Kop2Char">
    <w:name w:val="Kop 2 Char"/>
    <w:basedOn w:val="Standaardalinea-lettertype"/>
    <w:link w:val="Kop2"/>
    <w:uiPriority w:val="9"/>
    <w:qFormat/>
    <w:rsid w:val="002D1391"/>
    <w:rPr>
      <w:rFonts w:asciiTheme="majorHAnsi" w:eastAsiaTheme="majorEastAsia" w:hAnsiTheme="majorHAnsi"/>
      <w:iCs w:val="0"/>
      <w:color w:val="365F91" w:themeColor="accent1" w:themeShade="BF"/>
      <w:sz w:val="26"/>
      <w:szCs w:val="26"/>
    </w:rPr>
  </w:style>
  <w:style w:type="character" w:customStyle="1" w:styleId="fontstyle01">
    <w:name w:val="fontstyle01"/>
    <w:basedOn w:val="Standaardalinea-lettertype"/>
    <w:rsid w:val="002D1391"/>
    <w:rPr>
      <w:rFonts w:ascii="Calibri" w:hAnsi="Calibri" w:cs="Calibri" w:hint="default"/>
      <w:b w:val="0"/>
      <w:bCs w:val="0"/>
      <w:i w:val="0"/>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0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C94B0B5A6A54CA11CBD286453026E" ma:contentTypeVersion="7" ma:contentTypeDescription="Een nieuw document maken." ma:contentTypeScope="" ma:versionID="0aab05293098de842444b698e6df7b55">
  <xsd:schema xmlns:xsd="http://www.w3.org/2001/XMLSchema" xmlns:xs="http://www.w3.org/2001/XMLSchema" xmlns:p="http://schemas.microsoft.com/office/2006/metadata/properties" xmlns:ns2="1dd975c9-113e-4900-833e-a0a76dc32715" targetNamespace="http://schemas.microsoft.com/office/2006/metadata/properties" ma:root="true" ma:fieldsID="86e28f39bb0ca3cfc23544c8846c3462" ns2:_="">
    <xsd:import namespace="1dd975c9-113e-4900-833e-a0a76dc327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75c9-113e-4900-833e-a0a76dc32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AD22-00CC-45E4-853A-A2644D702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75c9-113e-4900-833e-a0a76dc32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7AF82-5AEE-4171-9E28-34A40876A1F9}">
  <ds:schemaRefs>
    <ds:schemaRef ds:uri="http://schemas.microsoft.com/sharepoint/v3/contenttype/forms"/>
  </ds:schemaRefs>
</ds:datastoreItem>
</file>

<file path=customXml/itemProps3.xml><?xml version="1.0" encoding="utf-8"?>
<ds:datastoreItem xmlns:ds="http://schemas.openxmlformats.org/officeDocument/2006/customXml" ds:itemID="{F4292D8E-71E9-4ACC-97C0-A46AFB0369D2}">
  <ds:schemaRefs>
    <ds:schemaRef ds:uri="http://purl.org/dc/elements/1.1/"/>
    <ds:schemaRef ds:uri="http://schemas.microsoft.com/office/2006/metadata/properties"/>
    <ds:schemaRef ds:uri="1dd975c9-113e-4900-833e-a0a76dc327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Rommy Bakker</dc:creator>
  <cp:keywords/>
  <dc:description/>
  <cp:lastModifiedBy>Rommy Bakker</cp:lastModifiedBy>
  <cp:revision>3</cp:revision>
  <dcterms:created xsi:type="dcterms:W3CDTF">2019-11-27T13:59:00Z</dcterms:created>
  <dcterms:modified xsi:type="dcterms:W3CDTF">2019-11-27T14:00:00Z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0x0101008E6C94B0B5A6A54CA11CBD286453026E</vt:lpwstr>
  </property>
</Properties>
</file>