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35" w:rsidRDefault="00CA5B35" w:rsidP="00CA5B35">
      <w:r>
        <w:t xml:space="preserve">Bijlage </w:t>
      </w:r>
    </w:p>
    <w:p w:rsidR="00CA5B35" w:rsidRDefault="00CA5B35" w:rsidP="00CA5B35"/>
    <w:p w:rsidR="00CA5B35" w:rsidRPr="00D2441F" w:rsidRDefault="00CA5B35" w:rsidP="00CA5B35">
      <w:pPr>
        <w:rPr>
          <w:rFonts w:eastAsiaTheme="majorEastAsia"/>
          <w:b/>
          <w:sz w:val="24"/>
          <w:szCs w:val="24"/>
        </w:rPr>
      </w:pPr>
      <w:r w:rsidRPr="00D2441F">
        <w:rPr>
          <w:rFonts w:eastAsiaTheme="majorEastAsia"/>
          <w:b/>
          <w:sz w:val="24"/>
          <w:szCs w:val="24"/>
        </w:rPr>
        <w:t>Model Raadsbesluit wijziging Algemene plaatselijke verordening</w:t>
      </w:r>
    </w:p>
    <w:p w:rsidR="00CA5B35" w:rsidRPr="00631FC0" w:rsidRDefault="00CA5B35" w:rsidP="00CA5B35">
      <w:pPr>
        <w:rPr>
          <w:rFonts w:eastAsiaTheme="majorEastAsia"/>
          <w:b/>
          <w:color w:val="FF0000"/>
        </w:rPr>
      </w:pPr>
    </w:p>
    <w:p w:rsidR="00CA5B35" w:rsidRPr="00B75986" w:rsidRDefault="00CA5B35" w:rsidP="00CA5B35">
      <w:pPr>
        <w:pStyle w:val="Geenafstand"/>
        <w:rPr>
          <w:b/>
        </w:rPr>
      </w:pPr>
      <w:r w:rsidRPr="00B75986">
        <w:rPr>
          <w:b/>
        </w:rPr>
        <w:t xml:space="preserve">Besluit van de raad van de gemeente [naam gemeente] tot wijziging van de Algemene plaatselijke verordening [naam gemeente en eventueel jaartal] (Algemene plaatselijke verordening [naam gemeente en eventueel jaartal]) </w:t>
      </w:r>
    </w:p>
    <w:p w:rsidR="00CA5B35" w:rsidRPr="00B75986" w:rsidRDefault="00CA5B35" w:rsidP="00CA5B35">
      <w:pPr>
        <w:rPr>
          <w:rFonts w:eastAsiaTheme="majorEastAsia"/>
          <w:b/>
        </w:rPr>
      </w:pPr>
    </w:p>
    <w:p w:rsidR="00CA5B35" w:rsidRPr="00B75986" w:rsidRDefault="00CA5B35" w:rsidP="00CA5B35">
      <w:r w:rsidRPr="00B75986">
        <w:t>De raad van de gemeente [</w:t>
      </w:r>
      <w:r w:rsidRPr="00B75986">
        <w:rPr>
          <w:b/>
        </w:rPr>
        <w:t>naam gemeente</w:t>
      </w:r>
      <w:r w:rsidRPr="00B75986">
        <w:t>];</w:t>
      </w:r>
    </w:p>
    <w:p w:rsidR="00CA5B35" w:rsidRPr="00B75986" w:rsidRDefault="00CA5B35" w:rsidP="00CA5B35">
      <w:r w:rsidRPr="00B75986">
        <w:t>gelezen het voorstel van college van burgemeester en wethouders van [</w:t>
      </w:r>
      <w:r w:rsidRPr="00B75986">
        <w:rPr>
          <w:b/>
        </w:rPr>
        <w:t>datum en nummer</w:t>
      </w:r>
      <w:r w:rsidRPr="00B75986">
        <w:t>];</w:t>
      </w:r>
    </w:p>
    <w:p w:rsidR="00CA5B35" w:rsidRPr="00B75986" w:rsidRDefault="00CA5B35" w:rsidP="00CA5B35">
      <w:r w:rsidRPr="00B75986">
        <w:t xml:space="preserve">gelet op artikel </w:t>
      </w:r>
      <w:r>
        <w:t>149 van de Gemeentewet</w:t>
      </w:r>
      <w:r w:rsidRPr="00B75986">
        <w:t>;</w:t>
      </w:r>
    </w:p>
    <w:p w:rsidR="00CA5B35" w:rsidRDefault="00CA5B35" w:rsidP="00CA5B35">
      <w:r w:rsidRPr="00B75986">
        <w:t>gezien het advies van de [</w:t>
      </w:r>
      <w:r w:rsidRPr="00B75986">
        <w:rPr>
          <w:b/>
        </w:rPr>
        <w:t>naam commissie</w:t>
      </w:r>
      <w:r w:rsidRPr="00B75986">
        <w:t>];</w:t>
      </w:r>
    </w:p>
    <w:p w:rsidR="00CA5B35" w:rsidRDefault="00CA5B35" w:rsidP="00CA5B35">
      <w:r>
        <w:t xml:space="preserve">overwegende dat het wenselijk is tijdens de jaarwisseling te verbieden om consumentenvuurwerk tot ontbranding te brengen [EN] alleen op bepaalde plaatsen toe te (laten) staan dat consumentenvuurwerk tot ontbranding wordt gebracht.  </w:t>
      </w:r>
    </w:p>
    <w:p w:rsidR="00CA5B35" w:rsidRPr="00B75986" w:rsidRDefault="00CA5B35" w:rsidP="00CA5B35"/>
    <w:p w:rsidR="00CA5B35" w:rsidRPr="00B75986" w:rsidRDefault="00CA5B35" w:rsidP="00CA5B35">
      <w:r w:rsidRPr="00B75986">
        <w:t>besluit:</w:t>
      </w:r>
    </w:p>
    <w:p w:rsidR="00CA5B35" w:rsidRPr="00B75986" w:rsidRDefault="00CA5B35" w:rsidP="00CA5B35"/>
    <w:p w:rsidR="00CA5B35" w:rsidRPr="00B75986" w:rsidRDefault="00CA5B35" w:rsidP="00CA5B35">
      <w:r w:rsidRPr="00B75986">
        <w:t>Artikel I</w:t>
      </w:r>
    </w:p>
    <w:p w:rsidR="00CA5B35" w:rsidRPr="00B75986" w:rsidRDefault="00CA5B35" w:rsidP="00CA5B35"/>
    <w:p w:rsidR="00CA5B35" w:rsidRPr="00B75986" w:rsidRDefault="00CA5B35" w:rsidP="00CA5B35">
      <w:r w:rsidRPr="00B75986">
        <w:t>De [</w:t>
      </w:r>
      <w:r w:rsidRPr="00B75986">
        <w:rPr>
          <w:b/>
        </w:rPr>
        <w:t>citeertitel Verordening Algemene plaatselijke verordening</w:t>
      </w:r>
      <w:r w:rsidRPr="00B75986">
        <w:t>]</w:t>
      </w:r>
      <w:r w:rsidRPr="00B75986">
        <w:rPr>
          <w:b/>
        </w:rPr>
        <w:t xml:space="preserve"> </w:t>
      </w:r>
      <w:r w:rsidRPr="00B75986">
        <w:t>wordt als volgt gewijzigd:</w:t>
      </w:r>
    </w:p>
    <w:p w:rsidR="00CA5B35" w:rsidRPr="00B75986" w:rsidRDefault="00CA5B35" w:rsidP="00CA5B35">
      <w:r w:rsidRPr="00B75986">
        <w:t xml:space="preserve"> </w:t>
      </w:r>
    </w:p>
    <w:p w:rsidR="00CA5B35" w:rsidRDefault="00CA5B35" w:rsidP="00CA5B35">
      <w:pPr>
        <w:rPr>
          <w:rFonts w:eastAsiaTheme="majorEastAsia"/>
        </w:rPr>
      </w:pPr>
      <w:r>
        <w:rPr>
          <w:rFonts w:cs="Arial"/>
        </w:rPr>
        <w:t>[</w:t>
      </w:r>
      <w:r w:rsidRPr="00104B93">
        <w:rPr>
          <w:rFonts w:cs="Arial"/>
          <w:i/>
        </w:rPr>
        <w:t>A.</w:t>
      </w:r>
      <w:r>
        <w:rPr>
          <w:rFonts w:cs="Arial"/>
        </w:rPr>
        <w:t xml:space="preserve">] </w:t>
      </w:r>
      <w:r w:rsidRPr="002252A9">
        <w:rPr>
          <w:rFonts w:cs="Arial"/>
        </w:rPr>
        <w:t>A</w:t>
      </w:r>
      <w:r>
        <w:rPr>
          <w:rFonts w:eastAsiaTheme="majorEastAsia"/>
        </w:rPr>
        <w:t>rtikel 2:73 komt te luiden:</w:t>
      </w:r>
    </w:p>
    <w:p w:rsidR="00CA5B35" w:rsidRDefault="00CA5B35" w:rsidP="00CA5B35">
      <w:pPr>
        <w:pStyle w:val="Geenafstand"/>
        <w:rPr>
          <w:rFonts w:eastAsia="MS Mincho" w:cs="Arial"/>
          <w:bCs/>
        </w:rPr>
      </w:pPr>
    </w:p>
    <w:p w:rsidR="00CA5B35" w:rsidRDefault="00CA5B35" w:rsidP="00CA5B35">
      <w:pPr>
        <w:pStyle w:val="Geenafstand"/>
        <w:rPr>
          <w:rFonts w:eastAsia="MS Mincho" w:cs="Arial"/>
          <w:b/>
        </w:rPr>
      </w:pPr>
      <w:r w:rsidRPr="00104B93">
        <w:rPr>
          <w:rFonts w:eastAsia="MS Mincho" w:cs="Arial"/>
          <w:b/>
        </w:rPr>
        <w:t xml:space="preserve">Artikel 2:73 </w:t>
      </w:r>
      <w:r>
        <w:rPr>
          <w:rFonts w:eastAsia="MS Mincho" w:cs="Arial"/>
          <w:b/>
        </w:rPr>
        <w:t>Verbod</w:t>
      </w:r>
      <w:r w:rsidRPr="00104B93">
        <w:rPr>
          <w:rFonts w:eastAsia="MS Mincho" w:cs="Arial"/>
          <w:b/>
        </w:rPr>
        <w:t xml:space="preserve"> consumentenvuurwerk tijdens de jaarwisseling</w:t>
      </w:r>
    </w:p>
    <w:p w:rsidR="00CA5B35" w:rsidRPr="002C3A42" w:rsidRDefault="00CA5B35" w:rsidP="00CA5B35">
      <w:pPr>
        <w:rPr>
          <w:rFonts w:eastAsiaTheme="majorEastAsia"/>
        </w:rPr>
      </w:pPr>
      <w:r w:rsidRPr="002C3A42">
        <w:rPr>
          <w:rFonts w:eastAsiaTheme="majorEastAsia"/>
        </w:rPr>
        <w:t>1. Het is verboden om consumentenvuurwerk tot ontbranding te brengen.</w:t>
      </w:r>
    </w:p>
    <w:p w:rsidR="00CA5B35" w:rsidRDefault="00CA5B35" w:rsidP="00CA5B35">
      <w:pPr>
        <w:rPr>
          <w:rFonts w:eastAsiaTheme="majorEastAsia"/>
        </w:rPr>
      </w:pPr>
    </w:p>
    <w:p w:rsidR="00CA5B35" w:rsidRPr="002C3A42" w:rsidRDefault="00CA5B35" w:rsidP="00CA5B35">
      <w:pPr>
        <w:rPr>
          <w:rFonts w:eastAsiaTheme="majorEastAsia"/>
        </w:rPr>
      </w:pPr>
      <w:r w:rsidRPr="002C3A42">
        <w:rPr>
          <w:rFonts w:eastAsiaTheme="majorEastAsia"/>
        </w:rPr>
        <w:t>[</w:t>
      </w:r>
      <w:r w:rsidRPr="002C3A42">
        <w:rPr>
          <w:rFonts w:eastAsiaTheme="majorEastAsia"/>
          <w:i/>
        </w:rPr>
        <w:t>[2.] Het verbod is niet van toepassing op door het college aangewezen plaatsen.</w:t>
      </w:r>
      <w:r w:rsidRPr="002C3A42">
        <w:rPr>
          <w:rFonts w:eastAsiaTheme="majorEastAsia"/>
        </w:rPr>
        <w:t>]</w:t>
      </w:r>
    </w:p>
    <w:p w:rsidR="00CA5B35" w:rsidRDefault="00CA5B35" w:rsidP="00CA5B35">
      <w:pPr>
        <w:rPr>
          <w:rFonts w:eastAsiaTheme="majorEastAsia"/>
        </w:rPr>
      </w:pPr>
    </w:p>
    <w:p w:rsidR="00CA5B35" w:rsidRPr="002C3A42" w:rsidRDefault="00CA5B35" w:rsidP="00CA5B35">
      <w:pPr>
        <w:rPr>
          <w:rFonts w:eastAsiaTheme="majorEastAsia"/>
        </w:rPr>
      </w:pPr>
      <w:r w:rsidRPr="002C3A42">
        <w:rPr>
          <w:rFonts w:eastAsiaTheme="majorEastAsia"/>
        </w:rPr>
        <w:t>[</w:t>
      </w:r>
      <w:r w:rsidRPr="002C3A42">
        <w:rPr>
          <w:rFonts w:eastAsiaTheme="majorEastAsia"/>
          <w:i/>
        </w:rPr>
        <w:t>3.</w:t>
      </w:r>
      <w:r w:rsidRPr="002C3A42">
        <w:rPr>
          <w:rFonts w:eastAsiaTheme="majorEastAsia"/>
        </w:rPr>
        <w:t>] Het verbod is [</w:t>
      </w:r>
      <w:r w:rsidRPr="002C3A42">
        <w:rPr>
          <w:rFonts w:eastAsiaTheme="majorEastAsia"/>
          <w:i/>
        </w:rPr>
        <w:t>voorts</w:t>
      </w:r>
      <w:r w:rsidRPr="002C3A42">
        <w:rPr>
          <w:rFonts w:eastAsiaTheme="majorEastAsia"/>
        </w:rPr>
        <w:t>] niet van toepassing op situaties waarin wordt voorzien door artikel 429, aanhef en onder 1˚, van het Wetboek van Strafrecht.</w:t>
      </w:r>
    </w:p>
    <w:p w:rsidR="00CA5B35" w:rsidRPr="00D2441F" w:rsidRDefault="00CA5B35" w:rsidP="00CA5B35">
      <w:pPr>
        <w:pStyle w:val="Geenafstand"/>
        <w:rPr>
          <w:rFonts w:eastAsia="MS Mincho" w:cs="Arial"/>
        </w:rPr>
      </w:pPr>
    </w:p>
    <w:p w:rsidR="00CA5B35" w:rsidRDefault="00CA5B35" w:rsidP="00CA5B35">
      <w:pPr>
        <w:pStyle w:val="Geenafstand"/>
        <w:rPr>
          <w:rFonts w:eastAsia="MS Mincho" w:cs="Arial"/>
          <w:bCs/>
        </w:rPr>
      </w:pPr>
    </w:p>
    <w:p w:rsidR="00CA5B35" w:rsidRPr="00104B93" w:rsidRDefault="00CA5B35" w:rsidP="00CA5B35">
      <w:pPr>
        <w:rPr>
          <w:rFonts w:eastAsiaTheme="majorEastAsia"/>
          <w:i/>
        </w:rPr>
      </w:pPr>
      <w:r>
        <w:rPr>
          <w:rFonts w:eastAsiaTheme="majorEastAsia"/>
        </w:rPr>
        <w:t>[</w:t>
      </w:r>
      <w:r w:rsidRPr="00104B93">
        <w:rPr>
          <w:rFonts w:eastAsiaTheme="majorEastAsia"/>
          <w:i/>
        </w:rPr>
        <w:t>B. In artikel 6:1, eerste lid, worden de onderdelen [</w:t>
      </w:r>
      <w:r w:rsidRPr="00104B93">
        <w:rPr>
          <w:rFonts w:eastAsiaTheme="majorEastAsia"/>
          <w:b/>
          <w:i/>
        </w:rPr>
        <w:t>… (bijvoorbeeld e)</w:t>
      </w:r>
      <w:r w:rsidRPr="00104B93">
        <w:rPr>
          <w:rFonts w:eastAsiaTheme="majorEastAsia"/>
          <w:i/>
        </w:rPr>
        <w:t>] tot en met [</w:t>
      </w:r>
      <w:r w:rsidRPr="00104B93">
        <w:rPr>
          <w:rFonts w:eastAsiaTheme="majorEastAsia"/>
          <w:b/>
          <w:i/>
        </w:rPr>
        <w:t>… (bijvoorbeeld q</w:t>
      </w:r>
      <w:r>
        <w:rPr>
          <w:rFonts w:eastAsiaTheme="majorEastAsia"/>
          <w:i/>
        </w:rPr>
        <w:t>)</w:t>
      </w:r>
      <w:r w:rsidRPr="00104B93">
        <w:rPr>
          <w:rFonts w:eastAsiaTheme="majorEastAsia"/>
          <w:i/>
        </w:rPr>
        <w:t>] geletterd [</w:t>
      </w:r>
      <w:r w:rsidRPr="00104B93">
        <w:rPr>
          <w:rFonts w:eastAsiaTheme="majorEastAsia"/>
          <w:b/>
          <w:i/>
        </w:rPr>
        <w:t>… (bijvoorbeeld f)</w:t>
      </w:r>
      <w:r w:rsidRPr="00104B93">
        <w:rPr>
          <w:rFonts w:eastAsiaTheme="majorEastAsia"/>
          <w:i/>
        </w:rPr>
        <w:t>] tot en met [</w:t>
      </w:r>
      <w:r w:rsidRPr="00104B93">
        <w:rPr>
          <w:rFonts w:eastAsiaTheme="majorEastAsia"/>
          <w:b/>
          <w:i/>
        </w:rPr>
        <w:t>… (bijvoorbeeld r)</w:t>
      </w:r>
      <w:r w:rsidRPr="00104B93">
        <w:rPr>
          <w:rFonts w:eastAsiaTheme="majorEastAsia"/>
          <w:i/>
        </w:rPr>
        <w:t>] en wordt een nieuw onderdeel [</w:t>
      </w:r>
      <w:r w:rsidRPr="00104B93">
        <w:rPr>
          <w:rFonts w:eastAsiaTheme="majorEastAsia"/>
          <w:b/>
          <w:i/>
        </w:rPr>
        <w:t>… (bijvoorbeeld e)</w:t>
      </w:r>
      <w:r w:rsidRPr="00104B93">
        <w:rPr>
          <w:rFonts w:eastAsiaTheme="majorEastAsia"/>
          <w:i/>
        </w:rPr>
        <w:t>] ingevoegd, luidende:</w:t>
      </w:r>
    </w:p>
    <w:p w:rsidR="00CA5B35" w:rsidRPr="00104B93" w:rsidRDefault="00CA5B35" w:rsidP="00CA5B35">
      <w:pPr>
        <w:rPr>
          <w:rFonts w:eastAsiaTheme="majorEastAsia"/>
          <w:i/>
        </w:rPr>
      </w:pPr>
    </w:p>
    <w:p w:rsidR="00CA5B35" w:rsidRPr="00B75986" w:rsidRDefault="00CA5B35" w:rsidP="00CA5B35">
      <w:pPr>
        <w:rPr>
          <w:rFonts w:eastAsiaTheme="majorEastAsia"/>
        </w:rPr>
      </w:pPr>
      <w:r w:rsidRPr="00104B93">
        <w:rPr>
          <w:rFonts w:eastAsiaTheme="majorEastAsia"/>
          <w:i/>
        </w:rPr>
        <w:t>[</w:t>
      </w:r>
      <w:r w:rsidRPr="00104B93">
        <w:rPr>
          <w:rFonts w:eastAsiaTheme="majorEastAsia"/>
          <w:b/>
          <w:i/>
        </w:rPr>
        <w:t>… (bijvoorbeeld e)</w:t>
      </w:r>
      <w:r w:rsidRPr="00104B93">
        <w:rPr>
          <w:rFonts w:eastAsiaTheme="majorEastAsia"/>
          <w:i/>
        </w:rPr>
        <w:t>]. artikel 2:73;</w:t>
      </w:r>
      <w:r>
        <w:rPr>
          <w:rFonts w:eastAsiaTheme="majorEastAsia"/>
        </w:rPr>
        <w:t>]</w:t>
      </w:r>
    </w:p>
    <w:p w:rsidR="00CA5B35" w:rsidRDefault="00CA5B35" w:rsidP="00CA5B35"/>
    <w:p w:rsidR="00CA5B35" w:rsidRPr="00B75986" w:rsidRDefault="00CA5B35" w:rsidP="00CA5B35">
      <w:r w:rsidRPr="00B75986">
        <w:t>Artikel II</w:t>
      </w:r>
    </w:p>
    <w:p w:rsidR="00CA5B35" w:rsidRPr="00B75986" w:rsidRDefault="00CA5B35" w:rsidP="00CA5B35"/>
    <w:p w:rsidR="00CA5B35" w:rsidRPr="00B75986" w:rsidRDefault="00CA5B35" w:rsidP="00CA5B35">
      <w:r w:rsidRPr="00B75986">
        <w:t>Dit besluit treedt in werking op [</w:t>
      </w:r>
      <w:r w:rsidRPr="00B75986">
        <w:rPr>
          <w:b/>
        </w:rPr>
        <w:t>datum</w:t>
      </w:r>
      <w:r w:rsidRPr="00B75986">
        <w:t>].</w:t>
      </w:r>
    </w:p>
    <w:p w:rsidR="00CA5B35" w:rsidRPr="00B75986" w:rsidRDefault="00CA5B35" w:rsidP="00CA5B35"/>
    <w:p w:rsidR="00CA5B35" w:rsidRPr="00B75986" w:rsidRDefault="00CA5B35" w:rsidP="00CA5B35">
      <w:r w:rsidRPr="00B75986">
        <w:t>Aldus vastgesteld in de openbare raadsvergadering van [</w:t>
      </w:r>
      <w:r w:rsidRPr="00B75986">
        <w:rPr>
          <w:b/>
        </w:rPr>
        <w:t>datum</w:t>
      </w:r>
      <w:r w:rsidRPr="00B75986">
        <w:t>].</w:t>
      </w:r>
    </w:p>
    <w:p w:rsidR="00CA5B35" w:rsidRPr="00B75986" w:rsidRDefault="00CA5B35" w:rsidP="00CA5B35">
      <w:r w:rsidRPr="00B75986">
        <w:t xml:space="preserve"> </w:t>
      </w:r>
    </w:p>
    <w:p w:rsidR="00CA5B35" w:rsidRPr="00B75986" w:rsidRDefault="00CA5B35" w:rsidP="00CA5B35">
      <w:r w:rsidRPr="00B75986">
        <w:t>De voorzitter,</w:t>
      </w:r>
    </w:p>
    <w:p w:rsidR="00CA5B35" w:rsidRPr="00B75986" w:rsidRDefault="00CA5B35" w:rsidP="00CA5B35">
      <w:pPr>
        <w:tabs>
          <w:tab w:val="left" w:pos="1770"/>
          <w:tab w:val="center" w:pos="4589"/>
        </w:tabs>
      </w:pPr>
      <w:r w:rsidRPr="00B75986">
        <w:t>De griffier,</w:t>
      </w:r>
    </w:p>
    <w:p w:rsidR="003529CD" w:rsidRDefault="003529CD">
      <w:bookmarkStart w:id="0" w:name="_GoBack"/>
      <w:bookmarkEnd w:id="0"/>
    </w:p>
    <w:sectPr w:rsidR="003529CD" w:rsidSect="005145F3">
      <w:pgSz w:w="11905" w:h="16837" w:code="9"/>
      <w:pgMar w:top="1191" w:right="1531" w:bottom="2098" w:left="1531" w:header="0" w:footer="0" w:gutter="0"/>
      <w:paperSrc w:first="7" w:other="7"/>
      <w:cols w:space="708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B35"/>
    <w:rsid w:val="003529CD"/>
    <w:rsid w:val="00C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E2697"/>
  <w15:chartTrackingRefBased/>
  <w15:docId w15:val="{E01FEEA8-341F-44FE-8322-7C84944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A5B35"/>
    <w:pPr>
      <w:spacing w:after="0" w:line="280" w:lineRule="atLeast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qFormat/>
    <w:rsid w:val="00CA5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Oort</dc:creator>
  <cp:keywords/>
  <dc:description/>
  <cp:lastModifiedBy>Eric Oort</cp:lastModifiedBy>
  <cp:revision>1</cp:revision>
  <dcterms:created xsi:type="dcterms:W3CDTF">2019-10-30T15:21:00Z</dcterms:created>
  <dcterms:modified xsi:type="dcterms:W3CDTF">2019-10-30T15:22:00Z</dcterms:modified>
</cp:coreProperties>
</file>