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CA38" w14:textId="66D96CA6" w:rsidR="00EB1567" w:rsidRDefault="00105647" w:rsidP="002A01E5">
      <w:pPr>
        <w:pStyle w:val="Lijstalinea"/>
        <w:numPr>
          <w:ilvl w:val="0"/>
          <w:numId w:val="0"/>
        </w:numPr>
        <w:spacing w:line="280" w:lineRule="atLeast"/>
        <w:ind w:left="360"/>
        <w:rPr>
          <w:b/>
        </w:rPr>
      </w:pPr>
      <w:r w:rsidRPr="00EB1567">
        <w:rPr>
          <w:b/>
          <w:u w:val="single"/>
        </w:rPr>
        <w:t xml:space="preserve">Samenvatting </w:t>
      </w:r>
      <w:r w:rsidR="004D25DB" w:rsidRPr="00EB1567">
        <w:rPr>
          <w:b/>
          <w:u w:val="single"/>
        </w:rPr>
        <w:t>en pre</w:t>
      </w:r>
      <w:r w:rsidR="00345FD5" w:rsidRPr="00EB1567">
        <w:rPr>
          <w:b/>
          <w:u w:val="single"/>
        </w:rPr>
        <w:t xml:space="preserve">advies </w:t>
      </w:r>
      <w:r w:rsidRPr="00EB1567">
        <w:rPr>
          <w:b/>
          <w:u w:val="single"/>
        </w:rPr>
        <w:t>motie</w:t>
      </w:r>
      <w:r w:rsidR="00345FD5" w:rsidRPr="00EB1567">
        <w:rPr>
          <w:b/>
          <w:u w:val="single"/>
        </w:rPr>
        <w:t xml:space="preserve"> </w:t>
      </w:r>
      <w:r w:rsidR="002D1391">
        <w:rPr>
          <w:b/>
          <w:u w:val="single"/>
        </w:rPr>
        <w:t>‘</w:t>
      </w:r>
      <w:r w:rsidR="00955330" w:rsidRPr="00955330">
        <w:rPr>
          <w:b/>
          <w:u w:val="single"/>
        </w:rPr>
        <w:t>Duidelijkheid over Warmtewet en toepassing warmtetransitie</w:t>
      </w:r>
      <w:r w:rsidR="00955330">
        <w:rPr>
          <w:b/>
          <w:u w:val="single"/>
        </w:rPr>
        <w:t>’</w:t>
      </w:r>
      <w:r w:rsidR="00955330" w:rsidRPr="00955330">
        <w:rPr>
          <w:b/>
          <w:u w:val="single"/>
        </w:rPr>
        <w:t xml:space="preserve"> </w:t>
      </w:r>
      <w:r w:rsidR="00EB1567" w:rsidRPr="00EB1567">
        <w:rPr>
          <w:b/>
          <w:u w:val="single"/>
        </w:rPr>
        <w:t>over</w:t>
      </w:r>
      <w:r w:rsidR="002D1391">
        <w:rPr>
          <w:b/>
          <w:u w:val="single"/>
        </w:rPr>
        <w:t xml:space="preserve"> de </w:t>
      </w:r>
      <w:r w:rsidR="00955330">
        <w:rPr>
          <w:b/>
          <w:u w:val="single"/>
        </w:rPr>
        <w:t>Warmtewet</w:t>
      </w:r>
      <w:r w:rsidR="00345FD5" w:rsidRPr="00EB1567">
        <w:rPr>
          <w:b/>
          <w:u w:val="single"/>
        </w:rPr>
        <w:br/>
      </w:r>
      <w:r w:rsidRPr="0083787B">
        <w:rPr>
          <w:b/>
        </w:rPr>
        <w:br/>
        <w:t>Indienende gemeente</w:t>
      </w:r>
      <w:r w:rsidR="00EB1567">
        <w:rPr>
          <w:b/>
        </w:rPr>
        <w:t>:</w:t>
      </w:r>
      <w:r w:rsidR="002D1391" w:rsidRPr="002D1391">
        <w:t xml:space="preserve"> </w:t>
      </w:r>
      <w:r w:rsidR="00955330">
        <w:t>Deventer</w:t>
      </w:r>
    </w:p>
    <w:p w14:paraId="3782FC71" w14:textId="380B7FCF" w:rsidR="00AC0DD3" w:rsidRDefault="00345FD5" w:rsidP="000012DF">
      <w:pPr>
        <w:pStyle w:val="Lijstalinea"/>
        <w:numPr>
          <w:ilvl w:val="0"/>
          <w:numId w:val="0"/>
        </w:numPr>
        <w:spacing w:line="280" w:lineRule="atLeast"/>
        <w:ind w:left="360"/>
      </w:pPr>
      <w:r>
        <w:br/>
      </w:r>
      <w:r w:rsidR="00105647" w:rsidRPr="0083787B">
        <w:rPr>
          <w:b/>
        </w:rPr>
        <w:t>Ondersteunende gemeenten</w:t>
      </w:r>
      <w:r w:rsidR="002A01E5">
        <w:t>:</w:t>
      </w:r>
      <w:r w:rsidR="00AC0DD3">
        <w:t xml:space="preserve"> </w:t>
      </w:r>
      <w:r w:rsidR="000012DF">
        <w:t xml:space="preserve">zie motie. </w:t>
      </w:r>
    </w:p>
    <w:p w14:paraId="2E890EF7" w14:textId="78C5CA18" w:rsidR="003E5CF1" w:rsidRDefault="00105647" w:rsidP="002A01E5">
      <w:pPr>
        <w:pStyle w:val="Lijstalinea"/>
        <w:numPr>
          <w:ilvl w:val="0"/>
          <w:numId w:val="0"/>
        </w:numPr>
        <w:spacing w:line="280" w:lineRule="atLeast"/>
        <w:ind w:left="360"/>
      </w:pPr>
      <w:r>
        <w:rPr>
          <w:b/>
        </w:rPr>
        <w:br/>
        <w:t xml:space="preserve">Status motie: </w:t>
      </w:r>
      <w:r w:rsidR="00734714">
        <w:t>Definitief</w:t>
      </w:r>
      <w:r w:rsidR="003E5CF1">
        <w:t xml:space="preserve"> </w:t>
      </w:r>
    </w:p>
    <w:p w14:paraId="6D49C22A" w14:textId="440D5593" w:rsidR="00C2616D" w:rsidRDefault="00345FD5" w:rsidP="003E5CF1">
      <w:pPr>
        <w:pStyle w:val="Lijstalinea"/>
        <w:numPr>
          <w:ilvl w:val="0"/>
          <w:numId w:val="0"/>
        </w:numPr>
        <w:spacing w:line="280" w:lineRule="atLeast"/>
        <w:ind w:left="360"/>
        <w:rPr>
          <w:b/>
        </w:rPr>
      </w:pPr>
      <w:r w:rsidRPr="00345FD5">
        <w:rPr>
          <w:b/>
        </w:rPr>
        <w:br/>
        <w:t>Strekking van de moti</w:t>
      </w:r>
      <w:r w:rsidR="008B4EE9">
        <w:rPr>
          <w:b/>
        </w:rPr>
        <w:t>e</w:t>
      </w:r>
    </w:p>
    <w:p w14:paraId="5CEF79AA" w14:textId="042CDC1B" w:rsidR="00955330" w:rsidRDefault="00955330" w:rsidP="00955330">
      <w:pPr>
        <w:spacing w:line="280" w:lineRule="atLeast"/>
        <w:ind w:left="360"/>
        <w:contextualSpacing/>
      </w:pPr>
      <w:r>
        <w:t>De motie draagt het bestuur van de VNG op aan te blijven dringen op intensieve betrokkenheid van gemeenten bij de totstandkoming van de nieuwe Warmtewet</w:t>
      </w:r>
      <w:r w:rsidR="006737BC">
        <w:t xml:space="preserve"> en d</w:t>
      </w:r>
      <w:r>
        <w:t>aarbij onder andere de volgende aanvullende afspraken te maken in de Warmtewet:</w:t>
      </w:r>
    </w:p>
    <w:p w14:paraId="6A1B5D94" w14:textId="2DB1CD22" w:rsidR="00955330" w:rsidRDefault="00AC0DD3" w:rsidP="00955330">
      <w:pPr>
        <w:pStyle w:val="Lijstalinea"/>
        <w:numPr>
          <w:ilvl w:val="0"/>
          <w:numId w:val="10"/>
        </w:numPr>
        <w:spacing w:line="280" w:lineRule="atLeast"/>
      </w:pPr>
      <w:r>
        <w:t xml:space="preserve">Ruimte te laten voor de uitvoeringspraktijk van gemeenten; dit gaat er o.a. over om naast de bestaande praktijk de keuze op te nemen om publiek eigendom (transport en distributie) van alle warmte-infrastructuur mogelijk te maken; </w:t>
      </w:r>
    </w:p>
    <w:p w14:paraId="161FB5A0" w14:textId="792F6320" w:rsidR="00AC0DD3" w:rsidRDefault="00AC0DD3" w:rsidP="00955330">
      <w:pPr>
        <w:pStyle w:val="Lijstalinea"/>
        <w:numPr>
          <w:ilvl w:val="0"/>
          <w:numId w:val="10"/>
        </w:numPr>
        <w:spacing w:line="280" w:lineRule="atLeast"/>
      </w:pPr>
      <w:r>
        <w:t>Een onafhankelijk onderzoek uit te voeren naar de omvang van de (noodzakelijke publieke bijdrage) voor warmtenetten met het doel deze ‘haalbaar en betaalbaar’ te realiseren, de uitkomsten van dit onderzoek zijn weerklank te laten hebben in de afspraken tussen gemeenten en Rijk en bijvoorbeeld mogelijk te maken dat deze (publieke bijdrage) ook kan worden aangewend door decentrale overheden of overheidsbedrijven;</w:t>
      </w:r>
    </w:p>
    <w:p w14:paraId="37FA45CF" w14:textId="77777777" w:rsidR="00AC0DD3" w:rsidRDefault="00AC0DD3" w:rsidP="00AC0DD3">
      <w:pPr>
        <w:pStyle w:val="Lijstalinea"/>
        <w:numPr>
          <w:ilvl w:val="0"/>
          <w:numId w:val="10"/>
        </w:numPr>
        <w:spacing w:line="280" w:lineRule="atLeast"/>
      </w:pPr>
      <w:r>
        <w:t xml:space="preserve">Met het Rijk in overleg te gaan over aanpalende afspraken die voor de uitvoering van belang zijn maar niet in de Warmtewet behoren, zoals vraagstukken m.b.t. de vormen van beheer, exploitatie, vormen van aan- en </w:t>
      </w:r>
      <w:proofErr w:type="spellStart"/>
      <w:r>
        <w:t>inbesteding</w:t>
      </w:r>
      <w:proofErr w:type="spellEnd"/>
      <w:r>
        <w:t>, bewonersparticipatie, verbinding met nieuwe vormen van energie en opslag;</w:t>
      </w:r>
    </w:p>
    <w:p w14:paraId="36498D64" w14:textId="6FAF6D20" w:rsidR="00AC0DD3" w:rsidRDefault="00AC0DD3" w:rsidP="000012DF">
      <w:pPr>
        <w:pStyle w:val="Lijstalinea"/>
        <w:numPr>
          <w:ilvl w:val="0"/>
          <w:numId w:val="10"/>
        </w:numPr>
        <w:spacing w:line="280" w:lineRule="atLeast"/>
      </w:pPr>
      <w:r>
        <w:t>met spoed met het Rijk in overleg te reden om te zorgen dat, voor de periode tussen nu en de formele wijziging van de warmtewet, een werkend handelingsperspectief voor gemeenten om de doelstellingen van het klimaatakkoord mogelijk te maken;</w:t>
      </w:r>
    </w:p>
    <w:p w14:paraId="4CB56B12" w14:textId="77777777" w:rsidR="001F2665" w:rsidRDefault="001F2665" w:rsidP="00955330">
      <w:pPr>
        <w:spacing w:line="280" w:lineRule="atLeast"/>
        <w:ind w:left="360"/>
        <w:contextualSpacing/>
      </w:pPr>
    </w:p>
    <w:p w14:paraId="4DE50DA4" w14:textId="3CEE8130" w:rsidR="002D1391" w:rsidRDefault="000012DF" w:rsidP="00955330">
      <w:pPr>
        <w:spacing w:line="280" w:lineRule="atLeast"/>
        <w:ind w:left="360"/>
        <w:contextualSpacing/>
      </w:pPr>
      <w:r>
        <w:t>En de v</w:t>
      </w:r>
      <w:r w:rsidR="00955330">
        <w:t>oortgang van de besprekingen over deze punten te rapporteren tijdens de ALV van juni 2020.</w:t>
      </w:r>
    </w:p>
    <w:p w14:paraId="7B87DE83" w14:textId="77777777" w:rsidR="00955330" w:rsidRPr="00345FD5" w:rsidRDefault="00955330" w:rsidP="00955330">
      <w:pPr>
        <w:spacing w:line="280" w:lineRule="atLeast"/>
        <w:ind w:left="360"/>
        <w:contextualSpacing/>
      </w:pPr>
    </w:p>
    <w:p w14:paraId="795FB77E" w14:textId="6E63AE67" w:rsidR="00345FD5" w:rsidRPr="00345FD5" w:rsidRDefault="00345FD5" w:rsidP="00345FD5">
      <w:pPr>
        <w:spacing w:line="280" w:lineRule="atLeast"/>
        <w:ind w:left="360"/>
        <w:contextualSpacing/>
      </w:pPr>
      <w:r w:rsidRPr="00345FD5">
        <w:rPr>
          <w:b/>
        </w:rPr>
        <w:t>Preadvies VNG-bestuur:</w:t>
      </w:r>
      <w:r w:rsidRPr="00345FD5">
        <w:t xml:space="preserve"> </w:t>
      </w:r>
      <w:r w:rsidR="00AC0DD3">
        <w:t>overnemen</w:t>
      </w:r>
    </w:p>
    <w:p w14:paraId="680F4958" w14:textId="77777777" w:rsidR="008B3F5D" w:rsidRDefault="008B3F5D" w:rsidP="00345FD5">
      <w:pPr>
        <w:spacing w:line="280" w:lineRule="atLeast"/>
        <w:ind w:left="360"/>
        <w:contextualSpacing/>
        <w:rPr>
          <w:b/>
        </w:rPr>
      </w:pPr>
    </w:p>
    <w:p w14:paraId="4FB42D14" w14:textId="77777777" w:rsidR="008B4EE9" w:rsidRDefault="00345FD5" w:rsidP="00E72DCA">
      <w:pPr>
        <w:spacing w:line="280" w:lineRule="atLeast"/>
        <w:ind w:left="360"/>
        <w:contextualSpacing/>
        <w:rPr>
          <w:b/>
        </w:rPr>
      </w:pPr>
      <w:r w:rsidRPr="00345FD5">
        <w:rPr>
          <w:b/>
        </w:rPr>
        <w:t>Toelichting</w:t>
      </w:r>
      <w:r w:rsidR="00EB1567">
        <w:rPr>
          <w:b/>
        </w:rPr>
        <w:t xml:space="preserve"> bij het preadvies</w:t>
      </w:r>
      <w:r>
        <w:rPr>
          <w:b/>
        </w:rPr>
        <w:t xml:space="preserve"> </w:t>
      </w:r>
    </w:p>
    <w:p w14:paraId="4CB38D66" w14:textId="012689D3" w:rsidR="001F2665" w:rsidRPr="001F2665" w:rsidRDefault="001F2665" w:rsidP="001F2665">
      <w:pPr>
        <w:spacing w:line="280" w:lineRule="atLeast"/>
        <w:ind w:left="360"/>
        <w:contextualSpacing/>
      </w:pPr>
      <w:r>
        <w:t xml:space="preserve">Het Rijk en de decentrale overheden voeren overleg over de invulling van de nieuwe Warmtewet, waarbij de in de motie genoemde onderwerpen aan bod komen. </w:t>
      </w:r>
      <w:r w:rsidRPr="001F2665">
        <w:t>In de gesprekken over de Warmtewet 2.0 wordt ook gesproken over aanvullende financiering om warmtenetten mogelijk te maken en invulling te geven aan de afspraken in het Klimaatakkoord. Hiertoe wordt ook een aanvullend onderzoek uitgezet om inzicht te krijgen in de business case van Warmte en de eventuele ondersteunende benodigde instrumenten</w:t>
      </w:r>
      <w:r w:rsidR="00AC0DD3">
        <w:t xml:space="preserve"> en de inzet hiervan.</w:t>
      </w:r>
    </w:p>
    <w:p w14:paraId="1F4A6BA6" w14:textId="1D102BA8" w:rsidR="001F2665" w:rsidRDefault="001F2665" w:rsidP="001F2665">
      <w:pPr>
        <w:spacing w:line="280" w:lineRule="atLeast"/>
        <w:ind w:left="360"/>
        <w:contextualSpacing/>
      </w:pPr>
    </w:p>
    <w:p w14:paraId="7254B5FC" w14:textId="37B071D8" w:rsidR="000A1E3F" w:rsidRDefault="000A1E3F" w:rsidP="001F2665">
      <w:pPr>
        <w:spacing w:line="280" w:lineRule="atLeast"/>
        <w:ind w:left="360"/>
        <w:contextualSpacing/>
      </w:pPr>
      <w:r>
        <w:t xml:space="preserve">De motie </w:t>
      </w:r>
      <w:r w:rsidR="00AC0DD3">
        <w:t>sluit aan bij de gesprekken over de Warmtewet 2.0 zoals deze</w:t>
      </w:r>
      <w:r w:rsidR="000012DF">
        <w:t xml:space="preserve"> </w:t>
      </w:r>
      <w:bookmarkStart w:id="0" w:name="_GoBack"/>
      <w:bookmarkEnd w:id="0"/>
      <w:r w:rsidR="00AC0DD3">
        <w:t xml:space="preserve">tussen </w:t>
      </w:r>
      <w:r>
        <w:t>het Rijk en de decentrale overheden</w:t>
      </w:r>
      <w:r w:rsidR="00AC0DD3">
        <w:t xml:space="preserve"> worden gevoerd</w:t>
      </w:r>
      <w:r>
        <w:t>.</w:t>
      </w:r>
      <w:r w:rsidR="00B06CB1">
        <w:t xml:space="preserve"> </w:t>
      </w:r>
    </w:p>
    <w:p w14:paraId="5F1CC695" w14:textId="77777777" w:rsidR="000A1E3F" w:rsidRDefault="000A1E3F" w:rsidP="001F2665">
      <w:pPr>
        <w:spacing w:line="280" w:lineRule="atLeast"/>
        <w:ind w:left="360"/>
        <w:contextualSpacing/>
      </w:pPr>
    </w:p>
    <w:sectPr w:rsidR="000A1E3F"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B5103"/>
    <w:multiLevelType w:val="hybridMultilevel"/>
    <w:tmpl w:val="4C70DE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1F1CFB"/>
    <w:multiLevelType w:val="hybridMultilevel"/>
    <w:tmpl w:val="CD302B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B8185D"/>
    <w:multiLevelType w:val="hybridMultilevel"/>
    <w:tmpl w:val="9E80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803C82"/>
    <w:multiLevelType w:val="hybridMultilevel"/>
    <w:tmpl w:val="515CBF12"/>
    <w:lvl w:ilvl="0" w:tplc="0413000F">
      <w:start w:val="1"/>
      <w:numFmt w:val="decimal"/>
      <w:lvlText w:val="%1."/>
      <w:lvlJc w:val="left"/>
      <w:pPr>
        <w:ind w:left="72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CB3BB6"/>
    <w:multiLevelType w:val="hybridMultilevel"/>
    <w:tmpl w:val="2500C786"/>
    <w:lvl w:ilvl="0" w:tplc="86D052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618F0"/>
    <w:multiLevelType w:val="hybridMultilevel"/>
    <w:tmpl w:val="498A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0D7110"/>
    <w:multiLevelType w:val="hybridMultilevel"/>
    <w:tmpl w:val="B67AF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6F4275"/>
    <w:multiLevelType w:val="hybridMultilevel"/>
    <w:tmpl w:val="8EB2B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F16447"/>
    <w:multiLevelType w:val="hybridMultilevel"/>
    <w:tmpl w:val="560698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A7A1A"/>
    <w:multiLevelType w:val="hybridMultilevel"/>
    <w:tmpl w:val="381A85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1153F14"/>
    <w:multiLevelType w:val="hybridMultilevel"/>
    <w:tmpl w:val="918C3E6C"/>
    <w:lvl w:ilvl="0" w:tplc="C0086644">
      <w:start w:val="1"/>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6"/>
  </w:num>
  <w:num w:numId="6">
    <w:abstractNumId w:val="9"/>
  </w:num>
  <w:num w:numId="7">
    <w:abstractNumId w:val="1"/>
  </w:num>
  <w:num w:numId="8">
    <w:abstractNumId w:val="5"/>
  </w:num>
  <w:num w:numId="9">
    <w:abstractNumId w:val="10"/>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47"/>
    <w:rsid w:val="000012DF"/>
    <w:rsid w:val="00042225"/>
    <w:rsid w:val="000463FF"/>
    <w:rsid w:val="00055D11"/>
    <w:rsid w:val="00092BA3"/>
    <w:rsid w:val="000A1E3F"/>
    <w:rsid w:val="00105647"/>
    <w:rsid w:val="00132BCE"/>
    <w:rsid w:val="00147799"/>
    <w:rsid w:val="001F2665"/>
    <w:rsid w:val="001F4A2C"/>
    <w:rsid w:val="00211D0C"/>
    <w:rsid w:val="00243969"/>
    <w:rsid w:val="00260AE0"/>
    <w:rsid w:val="002A01E5"/>
    <w:rsid w:val="002C1402"/>
    <w:rsid w:val="002D1391"/>
    <w:rsid w:val="002E6FDE"/>
    <w:rsid w:val="00331B6F"/>
    <w:rsid w:val="003356D7"/>
    <w:rsid w:val="00345FD5"/>
    <w:rsid w:val="00361004"/>
    <w:rsid w:val="00384172"/>
    <w:rsid w:val="0039338F"/>
    <w:rsid w:val="003B622D"/>
    <w:rsid w:val="003D0A19"/>
    <w:rsid w:val="003E5CF1"/>
    <w:rsid w:val="00400C69"/>
    <w:rsid w:val="00415E26"/>
    <w:rsid w:val="004339B0"/>
    <w:rsid w:val="00473805"/>
    <w:rsid w:val="00483AC5"/>
    <w:rsid w:val="0049473D"/>
    <w:rsid w:val="004C78CE"/>
    <w:rsid w:val="004D25DB"/>
    <w:rsid w:val="005153DA"/>
    <w:rsid w:val="00515D98"/>
    <w:rsid w:val="00550D30"/>
    <w:rsid w:val="0060414B"/>
    <w:rsid w:val="006737BC"/>
    <w:rsid w:val="00687AFE"/>
    <w:rsid w:val="006C20BC"/>
    <w:rsid w:val="006C582D"/>
    <w:rsid w:val="006D7B40"/>
    <w:rsid w:val="00734714"/>
    <w:rsid w:val="00751B77"/>
    <w:rsid w:val="00795002"/>
    <w:rsid w:val="0083787B"/>
    <w:rsid w:val="008378D9"/>
    <w:rsid w:val="00840246"/>
    <w:rsid w:val="00850196"/>
    <w:rsid w:val="00861C4D"/>
    <w:rsid w:val="00885142"/>
    <w:rsid w:val="008B3F5D"/>
    <w:rsid w:val="008B4EE9"/>
    <w:rsid w:val="008F58D6"/>
    <w:rsid w:val="00955330"/>
    <w:rsid w:val="009F0AFF"/>
    <w:rsid w:val="00A23CA4"/>
    <w:rsid w:val="00A34245"/>
    <w:rsid w:val="00AC0DD3"/>
    <w:rsid w:val="00B06CB1"/>
    <w:rsid w:val="00B15499"/>
    <w:rsid w:val="00B16704"/>
    <w:rsid w:val="00B55888"/>
    <w:rsid w:val="00B871A2"/>
    <w:rsid w:val="00B87520"/>
    <w:rsid w:val="00BB08FD"/>
    <w:rsid w:val="00BE09C6"/>
    <w:rsid w:val="00C212A4"/>
    <w:rsid w:val="00C2616D"/>
    <w:rsid w:val="00D32CBA"/>
    <w:rsid w:val="00D62770"/>
    <w:rsid w:val="00D62DCA"/>
    <w:rsid w:val="00D95ED9"/>
    <w:rsid w:val="00E72DCA"/>
    <w:rsid w:val="00EB1567"/>
    <w:rsid w:val="00F13AE1"/>
    <w:rsid w:val="00F16AC8"/>
    <w:rsid w:val="00F54E5D"/>
    <w:rsid w:val="00FA0075"/>
    <w:rsid w:val="00FB66CA"/>
    <w:rsid w:val="00FC14F8"/>
    <w:rsid w:val="00FF7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5E1E"/>
  <w15:chartTrackingRefBased/>
  <w15:docId w15:val="{E60F160F-6F2C-4765-8E45-171D1C78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5647"/>
    <w:pPr>
      <w:spacing w:line="280" w:lineRule="exact"/>
    </w:pPr>
    <w:rPr>
      <w:rFonts w:cs="Times New Roman"/>
      <w:iCs w:val="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uiPriority w:val="9"/>
    <w:unhideWhenUsed/>
    <w:qFormat/>
    <w:rsid w:val="002D1391"/>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05647"/>
    <w:pPr>
      <w:numPr>
        <w:numId w:val="1"/>
      </w:numPr>
      <w:contextualSpacing/>
    </w:pPr>
  </w:style>
  <w:style w:type="paragraph" w:styleId="Ballontekst">
    <w:name w:val="Balloon Text"/>
    <w:basedOn w:val="Standaard"/>
    <w:link w:val="BallontekstChar"/>
    <w:semiHidden/>
    <w:unhideWhenUsed/>
    <w:rsid w:val="004C78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C78CE"/>
    <w:rPr>
      <w:rFonts w:ascii="Segoe UI" w:hAnsi="Segoe UI" w:cs="Segoe UI"/>
      <w:iCs w:val="0"/>
      <w:sz w:val="18"/>
      <w:szCs w:val="18"/>
      <w:lang w:eastAsia="en-US"/>
    </w:rPr>
  </w:style>
  <w:style w:type="character" w:styleId="Verwijzingopmerking">
    <w:name w:val="annotation reference"/>
    <w:basedOn w:val="Standaardalinea-lettertype"/>
    <w:semiHidden/>
    <w:unhideWhenUsed/>
    <w:rsid w:val="004C78CE"/>
    <w:rPr>
      <w:sz w:val="16"/>
      <w:szCs w:val="16"/>
    </w:rPr>
  </w:style>
  <w:style w:type="paragraph" w:styleId="Tekstopmerking">
    <w:name w:val="annotation text"/>
    <w:basedOn w:val="Standaard"/>
    <w:link w:val="TekstopmerkingChar"/>
    <w:semiHidden/>
    <w:unhideWhenUsed/>
    <w:rsid w:val="004C78CE"/>
    <w:pPr>
      <w:spacing w:line="240" w:lineRule="auto"/>
    </w:pPr>
  </w:style>
  <w:style w:type="character" w:customStyle="1" w:styleId="TekstopmerkingChar">
    <w:name w:val="Tekst opmerking Char"/>
    <w:basedOn w:val="Standaardalinea-lettertype"/>
    <w:link w:val="Tekstopmerking"/>
    <w:semiHidden/>
    <w:rsid w:val="004C78CE"/>
    <w:rPr>
      <w:rFonts w:cs="Times New Roman"/>
      <w:iCs w:val="0"/>
      <w:szCs w:val="20"/>
      <w:lang w:eastAsia="en-US"/>
    </w:rPr>
  </w:style>
  <w:style w:type="paragraph" w:styleId="Onderwerpvanopmerking">
    <w:name w:val="annotation subject"/>
    <w:basedOn w:val="Tekstopmerking"/>
    <w:next w:val="Tekstopmerking"/>
    <w:link w:val="OnderwerpvanopmerkingChar"/>
    <w:semiHidden/>
    <w:unhideWhenUsed/>
    <w:rsid w:val="004C78CE"/>
    <w:rPr>
      <w:b/>
      <w:bCs/>
    </w:rPr>
  </w:style>
  <w:style w:type="character" w:customStyle="1" w:styleId="OnderwerpvanopmerkingChar">
    <w:name w:val="Onderwerp van opmerking Char"/>
    <w:basedOn w:val="TekstopmerkingChar"/>
    <w:link w:val="Onderwerpvanopmerking"/>
    <w:semiHidden/>
    <w:rsid w:val="004C78CE"/>
    <w:rPr>
      <w:rFonts w:cs="Times New Roman"/>
      <w:b/>
      <w:bCs/>
      <w:iCs w:val="0"/>
      <w:szCs w:val="20"/>
      <w:lang w:eastAsia="en-US"/>
    </w:rPr>
  </w:style>
  <w:style w:type="character" w:customStyle="1" w:styleId="Kop2Char">
    <w:name w:val="Kop 2 Char"/>
    <w:basedOn w:val="Standaardalinea-lettertype"/>
    <w:link w:val="Kop2"/>
    <w:uiPriority w:val="9"/>
    <w:qFormat/>
    <w:rsid w:val="002D1391"/>
    <w:rPr>
      <w:rFonts w:asciiTheme="majorHAnsi" w:eastAsiaTheme="majorEastAsia" w:hAnsiTheme="majorHAnsi"/>
      <w:iCs w:val="0"/>
      <w:color w:val="365F91" w:themeColor="accent1" w:themeShade="BF"/>
      <w:sz w:val="26"/>
      <w:szCs w:val="26"/>
    </w:rPr>
  </w:style>
  <w:style w:type="character" w:customStyle="1" w:styleId="fontstyle01">
    <w:name w:val="fontstyle01"/>
    <w:basedOn w:val="Standaardalinea-lettertype"/>
    <w:rsid w:val="002D1391"/>
    <w:rPr>
      <w:rFonts w:ascii="Calibri" w:hAnsi="Calibri" w:cs="Calibri" w:hint="default"/>
      <w:b w:val="0"/>
      <w:bCs w:val="0"/>
      <w:i w:val="0"/>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6831">
      <w:bodyDiv w:val="1"/>
      <w:marLeft w:val="0"/>
      <w:marRight w:val="0"/>
      <w:marTop w:val="0"/>
      <w:marBottom w:val="0"/>
      <w:divBdr>
        <w:top w:val="none" w:sz="0" w:space="0" w:color="auto"/>
        <w:left w:val="none" w:sz="0" w:space="0" w:color="auto"/>
        <w:bottom w:val="none" w:sz="0" w:space="0" w:color="auto"/>
        <w:right w:val="none" w:sz="0" w:space="0" w:color="auto"/>
      </w:divBdr>
    </w:div>
    <w:div w:id="1211072282">
      <w:bodyDiv w:val="1"/>
      <w:marLeft w:val="0"/>
      <w:marRight w:val="0"/>
      <w:marTop w:val="0"/>
      <w:marBottom w:val="0"/>
      <w:divBdr>
        <w:top w:val="none" w:sz="0" w:space="0" w:color="auto"/>
        <w:left w:val="none" w:sz="0" w:space="0" w:color="auto"/>
        <w:bottom w:val="none" w:sz="0" w:space="0" w:color="auto"/>
        <w:right w:val="none" w:sz="0" w:space="0" w:color="auto"/>
      </w:divBdr>
    </w:div>
    <w:div w:id="18569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2096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Bakker</dc:creator>
  <cp:keywords/>
  <dc:description/>
  <cp:lastModifiedBy>Rommy Bakker</cp:lastModifiedBy>
  <cp:revision>2</cp:revision>
  <dcterms:created xsi:type="dcterms:W3CDTF">2019-11-27T13:55:00Z</dcterms:created>
  <dcterms:modified xsi:type="dcterms:W3CDTF">2019-11-27T13:55:00Z</dcterms:modified>
</cp:coreProperties>
</file>