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9"/>
        <w:ind w:left="118" w:right="0" w:firstLine="0"/>
        <w:jc w:val="both"/>
        <w:rPr>
          <w:rFonts w:ascii="Calibri"/>
          <w:b/>
          <w:sz w:val="28"/>
        </w:rPr>
      </w:pPr>
      <w:r>
        <w:rPr>
          <w:rFonts w:ascii="Calibri"/>
          <w:b/>
          <w:sz w:val="28"/>
        </w:rPr>
        <w:t>Motie Klimaatakkoord: omkering bewijslast bij mijnbouwschade</w:t>
      </w:r>
    </w:p>
    <w:p>
      <w:pPr>
        <w:pStyle w:val="BodyText"/>
        <w:spacing w:before="11"/>
        <w:ind w:left="0"/>
        <w:rPr>
          <w:rFonts w:ascii="Calibri"/>
          <w:b/>
          <w:sz w:val="21"/>
        </w:rPr>
      </w:pPr>
    </w:p>
    <w:p>
      <w:pPr>
        <w:pStyle w:val="BodyText"/>
        <w:tabs>
          <w:tab w:pos="824" w:val="left" w:leader="none"/>
        </w:tabs>
        <w:ind w:left="824" w:right="979" w:hanging="706"/>
      </w:pPr>
      <w:r>
        <w:rPr>
          <w:u w:val="single"/>
        </w:rPr>
        <w:t>Aan:</w:t>
      </w:r>
      <w:r>
        <w:rPr/>
        <w:tab/>
        <w:t>De Algemene </w:t>
      </w:r>
      <w:r>
        <w:rPr>
          <w:spacing w:val="-3"/>
        </w:rPr>
        <w:t>Vergadering </w:t>
      </w:r>
      <w:r>
        <w:rPr/>
        <w:t>van de </w:t>
      </w:r>
      <w:r>
        <w:rPr>
          <w:spacing w:val="-3"/>
        </w:rPr>
        <w:t>Vereniging </w:t>
      </w:r>
      <w:r>
        <w:rPr/>
        <w:t>van Nederlandse Gemeenten,</w:t>
      </w:r>
      <w:r>
        <w:rPr>
          <w:spacing w:val="-31"/>
        </w:rPr>
        <w:t> </w:t>
      </w:r>
      <w:r>
        <w:rPr/>
        <w:t>in vergadering bijeen op 29 november</w:t>
      </w:r>
      <w:r>
        <w:rPr>
          <w:spacing w:val="-3"/>
        </w:rPr>
        <w:t> </w:t>
      </w:r>
      <w:r>
        <w:rPr/>
        <w:t>2019</w:t>
      </w:r>
    </w:p>
    <w:p>
      <w:pPr>
        <w:pStyle w:val="BodyText"/>
        <w:ind w:left="0"/>
      </w:pPr>
    </w:p>
    <w:p>
      <w:pPr>
        <w:pStyle w:val="BodyText"/>
        <w:ind w:left="118"/>
        <w:jc w:val="both"/>
      </w:pPr>
      <w:r>
        <w:rPr/>
        <w:t>Constaterende dat: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7" w:lineRule="auto" w:before="5" w:after="0"/>
        <w:ind w:left="838" w:right="319" w:hanging="360"/>
        <w:jc w:val="both"/>
        <w:rPr>
          <w:sz w:val="24"/>
        </w:rPr>
      </w:pPr>
      <w:r>
        <w:rPr>
          <w:sz w:val="24"/>
        </w:rPr>
        <w:t>Het rijk de bewijslast bij schade door mijnbouwactiviteiten in het Groninger</w:t>
      </w:r>
      <w:r>
        <w:rPr>
          <w:spacing w:val="-29"/>
          <w:sz w:val="24"/>
        </w:rPr>
        <w:t> </w:t>
      </w:r>
      <w:r>
        <w:rPr>
          <w:sz w:val="24"/>
        </w:rPr>
        <w:t>gasveld heeft</w:t>
      </w:r>
      <w:r>
        <w:rPr>
          <w:spacing w:val="-2"/>
          <w:sz w:val="24"/>
        </w:rPr>
        <w:t> </w:t>
      </w:r>
      <w:r>
        <w:rPr>
          <w:sz w:val="24"/>
        </w:rPr>
        <w:t>omgekeerd;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7" w:lineRule="auto" w:before="4" w:after="0"/>
        <w:ind w:left="838" w:right="350" w:hanging="360"/>
        <w:jc w:val="both"/>
        <w:rPr>
          <w:sz w:val="24"/>
        </w:rPr>
      </w:pPr>
      <w:r>
        <w:rPr>
          <w:sz w:val="24"/>
        </w:rPr>
        <w:t>De Technische Commissie Bodemdaling (TCBB) aan de minister van Economische Zaken en Klimaat heeft geadviseerd om bij kleine velden op land te werken met een equivalent van de omgekeerde</w:t>
      </w:r>
      <w:r>
        <w:rPr>
          <w:spacing w:val="-5"/>
          <w:sz w:val="24"/>
        </w:rPr>
        <w:t> </w:t>
      </w:r>
      <w:r>
        <w:rPr>
          <w:sz w:val="24"/>
        </w:rPr>
        <w:t>bewijslast;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37" w:lineRule="auto" w:before="8" w:after="0"/>
        <w:ind w:left="838" w:right="425" w:hanging="360"/>
        <w:jc w:val="both"/>
        <w:rPr>
          <w:sz w:val="24"/>
        </w:rPr>
      </w:pPr>
      <w:r>
        <w:rPr>
          <w:sz w:val="24"/>
        </w:rPr>
        <w:t>Het rijk dit advies in het concept schadeprotocol voor kleine gasvelden op land niet heeft</w:t>
      </w:r>
      <w:r>
        <w:rPr>
          <w:spacing w:val="-1"/>
          <w:sz w:val="24"/>
        </w:rPr>
        <w:t> </w:t>
      </w:r>
      <w:r>
        <w:rPr>
          <w:sz w:val="24"/>
        </w:rPr>
        <w:t>overgenomen;</w:t>
      </w:r>
    </w:p>
    <w:p>
      <w:pPr>
        <w:pStyle w:val="BodyText"/>
        <w:ind w:left="0"/>
      </w:pPr>
    </w:p>
    <w:p>
      <w:pPr>
        <w:pStyle w:val="BodyText"/>
        <w:ind w:left="118"/>
        <w:jc w:val="both"/>
      </w:pPr>
      <w:r>
        <w:rPr/>
        <w:t>Overwegende dat:</w:t>
      </w:r>
    </w:p>
    <w:p>
      <w:pPr>
        <w:pStyle w:val="ListParagraph"/>
        <w:numPr>
          <w:ilvl w:val="0"/>
          <w:numId w:val="1"/>
        </w:numPr>
        <w:tabs>
          <w:tab w:pos="839" w:val="left" w:leader="none"/>
        </w:tabs>
        <w:spacing w:line="240" w:lineRule="auto" w:before="2" w:after="0"/>
        <w:ind w:left="838" w:right="1088" w:hanging="360"/>
        <w:jc w:val="both"/>
        <w:rPr>
          <w:sz w:val="24"/>
        </w:rPr>
      </w:pPr>
      <w:r>
        <w:rPr>
          <w:sz w:val="24"/>
        </w:rPr>
        <w:t>Bewoners in de toekomst in toenemende mate te maken kunnen krijgen met verschillende operators en verschillende soorten mijnbouwactiviteiten, zoals zoutwinning, gaswinning en</w:t>
      </w:r>
      <w:r>
        <w:rPr>
          <w:spacing w:val="-3"/>
          <w:sz w:val="24"/>
        </w:rPr>
        <w:t> </w:t>
      </w:r>
      <w:r>
        <w:rPr>
          <w:sz w:val="24"/>
        </w:rPr>
        <w:t>aardwarmtewinning;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37" w:lineRule="auto" w:before="4" w:after="0"/>
        <w:ind w:left="838" w:right="842" w:hanging="360"/>
        <w:jc w:val="left"/>
        <w:rPr>
          <w:sz w:val="24"/>
        </w:rPr>
      </w:pPr>
      <w:r>
        <w:rPr>
          <w:sz w:val="24"/>
        </w:rPr>
        <w:t>Dat kleine gasvelden ook zorgen voor aardbevingen die in het verleden</w:t>
      </w:r>
      <w:r>
        <w:rPr>
          <w:spacing w:val="-22"/>
          <w:sz w:val="24"/>
        </w:rPr>
        <w:t> </w:t>
      </w:r>
      <w:r>
        <w:rPr>
          <w:sz w:val="24"/>
        </w:rPr>
        <w:t>hebben gezorgd voor honderden</w:t>
      </w:r>
      <w:r>
        <w:rPr>
          <w:spacing w:val="1"/>
          <w:sz w:val="24"/>
        </w:rPr>
        <w:t> </w:t>
      </w:r>
      <w:r>
        <w:rPr>
          <w:sz w:val="24"/>
        </w:rPr>
        <w:t>schadegevallen;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37" w:lineRule="auto" w:before="4" w:after="0"/>
        <w:ind w:left="838" w:right="302" w:hanging="360"/>
        <w:jc w:val="left"/>
        <w:rPr>
          <w:sz w:val="24"/>
        </w:rPr>
      </w:pPr>
      <w:r>
        <w:rPr>
          <w:sz w:val="24"/>
        </w:rPr>
        <w:t>Dat volgens rekenmodellen zich bij kleine gasvelden bevingen kunnen voor doen tot 3,6 op de schaal van Richter en dat dit overeenkomt met de zwaarste beving in Groningen;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37" w:lineRule="auto" w:before="8" w:after="0"/>
        <w:ind w:left="838" w:right="574" w:hanging="360"/>
        <w:jc w:val="left"/>
        <w:rPr>
          <w:sz w:val="24"/>
        </w:rPr>
      </w:pPr>
      <w:r>
        <w:rPr>
          <w:sz w:val="24"/>
        </w:rPr>
        <w:t>Dat de ervaring leert dat hvoor bewoners moeizaam is om aan te tonen dat schade door mijnbouwactiviteiten is</w:t>
      </w:r>
      <w:r>
        <w:rPr>
          <w:spacing w:val="-2"/>
          <w:sz w:val="24"/>
        </w:rPr>
        <w:t> </w:t>
      </w:r>
      <w:r>
        <w:rPr>
          <w:sz w:val="24"/>
        </w:rPr>
        <w:t>ontstaan;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37" w:lineRule="auto" w:before="5" w:after="0"/>
        <w:ind w:left="838" w:right="1230" w:hanging="360"/>
        <w:jc w:val="left"/>
        <w:rPr>
          <w:sz w:val="24"/>
        </w:rPr>
      </w:pPr>
      <w:r>
        <w:rPr>
          <w:sz w:val="24"/>
        </w:rPr>
        <w:t>Het voor bewoners ondoenlijk is om aan te tonen welke schade door welke mijnbouwactiviteit wordt</w:t>
      </w:r>
      <w:r>
        <w:rPr>
          <w:spacing w:val="-1"/>
          <w:sz w:val="24"/>
        </w:rPr>
        <w:t> </w:t>
      </w:r>
      <w:r>
        <w:rPr>
          <w:sz w:val="24"/>
        </w:rPr>
        <w:t>veroorzaakt.</w:t>
      </w:r>
    </w:p>
    <w:p>
      <w:pPr>
        <w:pStyle w:val="ListParagraph"/>
        <w:numPr>
          <w:ilvl w:val="0"/>
          <w:numId w:val="1"/>
        </w:numPr>
        <w:tabs>
          <w:tab w:pos="838" w:val="left" w:leader="none"/>
          <w:tab w:pos="839" w:val="left" w:leader="none"/>
        </w:tabs>
        <w:spacing w:line="237" w:lineRule="auto" w:before="4" w:after="0"/>
        <w:ind w:left="838" w:right="334" w:hanging="360"/>
        <w:jc w:val="left"/>
        <w:rPr>
          <w:sz w:val="24"/>
        </w:rPr>
      </w:pPr>
      <w:r>
        <w:rPr>
          <w:sz w:val="24"/>
        </w:rPr>
        <w:t>Dat er rechtsongelijkheid blijft bestaan tussen de inwoners van Groningen en de rest van het</w:t>
      </w:r>
      <w:r>
        <w:rPr>
          <w:spacing w:val="-1"/>
          <w:sz w:val="24"/>
        </w:rPr>
        <w:t> </w:t>
      </w:r>
      <w:r>
        <w:rPr>
          <w:sz w:val="24"/>
        </w:rPr>
        <w:t>land.</w:t>
      </w:r>
    </w:p>
    <w:p>
      <w:pPr>
        <w:pStyle w:val="BodyText"/>
        <w:ind w:left="0"/>
      </w:pPr>
    </w:p>
    <w:p>
      <w:pPr>
        <w:pStyle w:val="BodyText"/>
        <w:ind w:left="118" w:right="110"/>
      </w:pPr>
      <w:r>
        <w:rPr>
          <w:spacing w:val="-4"/>
        </w:rPr>
        <w:t>Verzoekt </w:t>
      </w:r>
      <w:r>
        <w:rPr/>
        <w:t>het VNG-congres om zich uit te spreken voor een equivalent van de omkering van de bewijslast bij mijnbouwactiviteiten op land, ook buiten Groningen, en dit bij het Rijk en de </w:t>
      </w:r>
      <w:r>
        <w:rPr>
          <w:spacing w:val="-4"/>
        </w:rPr>
        <w:t>Tweede </w:t>
      </w:r>
      <w:r>
        <w:rPr/>
        <w:t>Kamer te blijven</w:t>
      </w:r>
      <w:r>
        <w:rPr>
          <w:spacing w:val="4"/>
        </w:rPr>
        <w:t> </w:t>
      </w:r>
      <w:r>
        <w:rPr/>
        <w:t>bepleiten.</w:t>
      </w:r>
    </w:p>
    <w:p>
      <w:pPr>
        <w:pStyle w:val="BodyText"/>
        <w:spacing w:line="550" w:lineRule="atLeast" w:before="3"/>
        <w:ind w:left="118" w:right="5713"/>
      </w:pPr>
      <w:r>
        <w:rPr/>
        <w:t>en gaat over tot de orde van de dag. Hoogachtend,</w:t>
      </w:r>
    </w:p>
    <w:p>
      <w:pPr>
        <w:pStyle w:val="BodyText"/>
        <w:spacing w:before="2" w:after="7"/>
        <w:ind w:left="118"/>
      </w:pPr>
      <w:r>
        <w:rPr/>
        <w:t>het college van burgemeester en wethouders van de gemeente Woerden,</w:t>
      </w:r>
    </w:p>
    <w:p>
      <w:pPr>
        <w:pStyle w:val="BodyText"/>
        <w:ind w:left="118"/>
        <w:rPr>
          <w:sz w:val="20"/>
        </w:rPr>
      </w:pPr>
      <w:r>
        <w:rPr>
          <w:sz w:val="20"/>
        </w:rPr>
        <w:drawing>
          <wp:inline distT="0" distB="0" distL="0" distR="0">
            <wp:extent cx="4401457" cy="1542288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1457" cy="1542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</w:pPr>
      <w:r>
        <w:rPr/>
        <w:t>Gesteund door:</w:t>
      </w:r>
    </w:p>
    <w:p>
      <w:pPr>
        <w:pStyle w:val="BodyText"/>
        <w:ind w:left="0"/>
        <w:rPr>
          <w:b/>
        </w:rPr>
      </w:pPr>
    </w:p>
    <w:p>
      <w:pPr>
        <w:spacing w:before="0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………………………..</w:t>
      </w:r>
    </w:p>
    <w:p>
      <w:pPr>
        <w:spacing w:before="1"/>
        <w:ind w:left="118" w:right="0" w:firstLine="0"/>
        <w:jc w:val="left"/>
        <w:rPr>
          <w:b/>
          <w:sz w:val="24"/>
        </w:rPr>
      </w:pPr>
      <w:r>
        <w:rPr>
          <w:b/>
          <w:sz w:val="24"/>
        </w:rPr>
        <w:t>………………………..</w:t>
      </w:r>
    </w:p>
    <w:sectPr>
      <w:type w:val="continuous"/>
      <w:pgSz w:w="11910" w:h="16840"/>
      <w:pgMar w:top="1200" w:bottom="280" w:left="130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38" w:hanging="360"/>
      </w:pPr>
      <w:rPr>
        <w:rFonts w:hint="default" w:ascii="Symbol" w:hAnsi="Symbol" w:eastAsia="Symbol" w:cs="Symbol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1682" w:hanging="3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525" w:hanging="3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67" w:hanging="3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10" w:hanging="3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53" w:hanging="3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95" w:hanging="3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8" w:hanging="3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8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ind w:left="838"/>
    </w:pPr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118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4"/>
      <w:ind w:left="838" w:right="302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Beek, Krispijn</dc:creator>
  <dcterms:created xsi:type="dcterms:W3CDTF">2019-11-28T13:32:50Z</dcterms:created>
  <dcterms:modified xsi:type="dcterms:W3CDTF">2019-11-28T13:32:50Z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2019-11-28T00:00:00Z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2019-11-28T00:00:00Z</vt:filetime>
  </property>
</Properties>
</file>