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4D79" w14:textId="7DB64D96" w:rsidR="009A016D" w:rsidRDefault="009A016D" w:rsidP="009A016D">
      <w:r w:rsidRPr="009A016D">
        <w:rPr>
          <w:b/>
          <w:bCs/>
        </w:rPr>
        <w:t xml:space="preserve">Addendum op het </w:t>
      </w:r>
      <w:proofErr w:type="spellStart"/>
      <w:r w:rsidRPr="009A016D">
        <w:rPr>
          <w:b/>
          <w:bCs/>
        </w:rPr>
        <w:t>Handhavings</w:t>
      </w:r>
      <w:proofErr w:type="spellEnd"/>
      <w:r w:rsidRPr="009A016D">
        <w:rPr>
          <w:b/>
          <w:bCs/>
        </w:rPr>
        <w:t xml:space="preserve"> arrangement Gemeente </w:t>
      </w:r>
      <w:r w:rsidR="001367E7">
        <w:rPr>
          <w:b/>
          <w:bCs/>
        </w:rPr>
        <w:t xml:space="preserve">… </w:t>
      </w:r>
      <w:r w:rsidRPr="009A016D">
        <w:rPr>
          <w:b/>
          <w:bCs/>
        </w:rPr>
        <w:t>en politieteam</w:t>
      </w:r>
      <w:r w:rsidR="001367E7">
        <w:rPr>
          <w:b/>
          <w:bCs/>
        </w:rPr>
        <w:t xml:space="preserve"> …</w:t>
      </w:r>
    </w:p>
    <w:p w14:paraId="1BB604AE" w14:textId="68392CCC" w:rsidR="009A016D" w:rsidRPr="005C11A8" w:rsidRDefault="009A016D" w:rsidP="005C11A8">
      <w:pPr>
        <w:spacing w:after="0"/>
        <w:rPr>
          <w:i/>
          <w:iCs/>
          <w:u w:val="single"/>
        </w:rPr>
      </w:pPr>
      <w:r w:rsidRPr="005C11A8">
        <w:rPr>
          <w:i/>
          <w:iCs/>
          <w:u w:val="single"/>
        </w:rPr>
        <w:t>Aanleiding</w:t>
      </w:r>
    </w:p>
    <w:p w14:paraId="1F1F5823" w14:textId="581E66A5" w:rsidR="005C11A8" w:rsidRDefault="005C11A8" w:rsidP="005C11A8">
      <w:pPr>
        <w:spacing w:after="0"/>
      </w:pPr>
      <w:r>
        <w:t>Na een pilot periode van een jaar</w:t>
      </w:r>
      <w:r w:rsidR="00B36267">
        <w:t xml:space="preserve"> </w:t>
      </w:r>
      <w:r>
        <w:t xml:space="preserve">is de domeinlijst van de Buitengewoon opsporingsambtenaren Domein 1 per 1 januari 2024 aangevuld de bevoegdheid om te handhaven op de volgende feiten. </w:t>
      </w:r>
    </w:p>
    <w:p w14:paraId="777E343F" w14:textId="77777777" w:rsidR="005C11A8" w:rsidRDefault="005C11A8" w:rsidP="005C11A8">
      <w:pPr>
        <w:spacing w:after="0"/>
      </w:pPr>
      <w:r>
        <w:t xml:space="preserve">• het voeren van geen of onjuiste fietsverlichting </w:t>
      </w:r>
    </w:p>
    <w:p w14:paraId="1058B20A" w14:textId="77777777" w:rsidR="005C11A8" w:rsidRDefault="005C11A8" w:rsidP="005C11A8">
      <w:pPr>
        <w:spacing w:after="0"/>
      </w:pPr>
      <w:r>
        <w:t xml:space="preserve">• het negeren van rood licht door fietsers en voetgangers </w:t>
      </w:r>
    </w:p>
    <w:p w14:paraId="2957F2AA" w14:textId="77777777" w:rsidR="005C11A8" w:rsidRDefault="005C11A8" w:rsidP="005C11A8">
      <w:pPr>
        <w:spacing w:after="0"/>
      </w:pPr>
      <w:r>
        <w:t xml:space="preserve">• het handheld telefoongebruik door fietsers </w:t>
      </w:r>
    </w:p>
    <w:p w14:paraId="19135406" w14:textId="77777777" w:rsidR="005C11A8" w:rsidRDefault="005C11A8" w:rsidP="005C11A8">
      <w:pPr>
        <w:spacing w:after="0"/>
      </w:pPr>
    </w:p>
    <w:p w14:paraId="43B52122" w14:textId="2154B09E" w:rsidR="005C11A8" w:rsidRPr="005C11A8" w:rsidRDefault="005C11A8" w:rsidP="005C11A8">
      <w:pPr>
        <w:spacing w:after="0"/>
      </w:pPr>
      <w:r>
        <w:t>Handhaving op deze feiten is slechts mogelijk als in een gezamenlijk handhavingsarrangement de (rand)voorwaarden zijn beschreven waaronder handhaving plaatsvindt. Omdat het Handhavingsarrangement nog vrij recent is, is er voor gekozen om voor deze uitbreiding van bevoegdheden een addendum te maken.</w:t>
      </w:r>
    </w:p>
    <w:p w14:paraId="73B5DA39" w14:textId="77777777" w:rsidR="005C11A8" w:rsidRDefault="005C11A8" w:rsidP="005C11A8">
      <w:pPr>
        <w:spacing w:after="0"/>
      </w:pPr>
    </w:p>
    <w:p w14:paraId="050A77FC" w14:textId="77777777" w:rsidR="005C11A8" w:rsidRDefault="005C11A8" w:rsidP="005C11A8">
      <w:pPr>
        <w:spacing w:line="259" w:lineRule="auto"/>
        <w:jc w:val="center"/>
        <w:rPr>
          <w:b/>
        </w:rPr>
      </w:pPr>
      <w:r>
        <w:rPr>
          <w:b/>
        </w:rPr>
        <w:t>FYSIEKE VEILIGHEID</w:t>
      </w:r>
    </w:p>
    <w:p w14:paraId="3A9BC612" w14:textId="4EAF15B9" w:rsidR="005C11A8" w:rsidRPr="000C5B89" w:rsidRDefault="000C5B89" w:rsidP="005C11A8">
      <w:pPr>
        <w:spacing w:after="0"/>
        <w:rPr>
          <w:i/>
          <w:iCs/>
          <w:u w:val="single"/>
        </w:rPr>
      </w:pPr>
      <w:r w:rsidRPr="005C11A8">
        <w:rPr>
          <w:i/>
          <w:iCs/>
          <w:u w:val="single"/>
        </w:rPr>
        <w:t xml:space="preserve">Matrix samenwerkingsafspraken politie en boa-werkgevers </w:t>
      </w:r>
      <w:r>
        <w:rPr>
          <w:i/>
          <w:iCs/>
          <w:u w:val="single"/>
        </w:rPr>
        <w:t>in relatie tot verkeersfeiten.</w:t>
      </w:r>
    </w:p>
    <w:tbl>
      <w:tblPr>
        <w:tblStyle w:val="Tabelraster"/>
        <w:tblW w:w="0" w:type="auto"/>
        <w:tblLook w:val="04A0" w:firstRow="1" w:lastRow="0" w:firstColumn="1" w:lastColumn="0" w:noHBand="0" w:noVBand="1"/>
      </w:tblPr>
      <w:tblGrid>
        <w:gridCol w:w="1197"/>
        <w:gridCol w:w="1827"/>
        <w:gridCol w:w="3009"/>
        <w:gridCol w:w="9"/>
        <w:gridCol w:w="3020"/>
      </w:tblGrid>
      <w:tr w:rsidR="009A016D" w14:paraId="05511530" w14:textId="77777777" w:rsidTr="000C5B89">
        <w:tc>
          <w:tcPr>
            <w:tcW w:w="3092" w:type="dxa"/>
            <w:gridSpan w:val="2"/>
          </w:tcPr>
          <w:p w14:paraId="58A05AAD" w14:textId="77777777" w:rsidR="009A016D" w:rsidRDefault="009A016D" w:rsidP="000A6B38">
            <w:pPr>
              <w:spacing w:after="160" w:line="259" w:lineRule="auto"/>
              <w:rPr>
                <w:b/>
              </w:rPr>
            </w:pPr>
          </w:p>
        </w:tc>
        <w:tc>
          <w:tcPr>
            <w:tcW w:w="3098" w:type="dxa"/>
            <w:gridSpan w:val="2"/>
          </w:tcPr>
          <w:p w14:paraId="1AC3747E" w14:textId="77777777" w:rsidR="009A016D" w:rsidRDefault="009A016D" w:rsidP="000A6B38">
            <w:pPr>
              <w:spacing w:after="160" w:line="259" w:lineRule="auto"/>
              <w:rPr>
                <w:b/>
              </w:rPr>
            </w:pPr>
            <w:r>
              <w:rPr>
                <w:b/>
              </w:rPr>
              <w:t>Taken BOA</w:t>
            </w:r>
          </w:p>
        </w:tc>
        <w:tc>
          <w:tcPr>
            <w:tcW w:w="3098" w:type="dxa"/>
          </w:tcPr>
          <w:p w14:paraId="5758D0DA" w14:textId="77777777" w:rsidR="009A016D" w:rsidRDefault="009A016D" w:rsidP="000A6B38">
            <w:pPr>
              <w:spacing w:after="160" w:line="259" w:lineRule="auto"/>
              <w:rPr>
                <w:b/>
              </w:rPr>
            </w:pPr>
            <w:r>
              <w:rPr>
                <w:b/>
              </w:rPr>
              <w:t>Taken politie</w:t>
            </w:r>
          </w:p>
        </w:tc>
      </w:tr>
      <w:tr w:rsidR="00E9022C" w14:paraId="5AB40810" w14:textId="77777777" w:rsidTr="000C5B89">
        <w:tc>
          <w:tcPr>
            <w:tcW w:w="1251" w:type="dxa"/>
          </w:tcPr>
          <w:p w14:paraId="1A4989B9" w14:textId="48D221E3" w:rsidR="009A016D" w:rsidRPr="00445288" w:rsidRDefault="009A016D" w:rsidP="000A6B38">
            <w:pPr>
              <w:spacing w:after="160" w:line="259" w:lineRule="auto"/>
            </w:pPr>
          </w:p>
        </w:tc>
        <w:tc>
          <w:tcPr>
            <w:tcW w:w="1838" w:type="dxa"/>
          </w:tcPr>
          <w:p w14:paraId="12354D2F" w14:textId="4DA753BB" w:rsidR="009A016D" w:rsidRPr="00445288" w:rsidRDefault="00E9022C" w:rsidP="000A6B38">
            <w:pPr>
              <w:spacing w:after="160" w:line="259" w:lineRule="auto"/>
            </w:pPr>
            <w:r>
              <w:t>Het voeren van geen of onjuiste fietsverlichting</w:t>
            </w:r>
          </w:p>
        </w:tc>
        <w:tc>
          <w:tcPr>
            <w:tcW w:w="3089" w:type="dxa"/>
          </w:tcPr>
          <w:p w14:paraId="7F2DB067" w14:textId="7F736F64" w:rsidR="00E9022C" w:rsidRDefault="00E9022C" w:rsidP="00E9022C">
            <w:pPr>
              <w:spacing w:after="160" w:line="259" w:lineRule="auto"/>
            </w:pPr>
            <w:r>
              <w:t>De Boa’s kunnen handhaven op het voeren van geen of onjuiste fietsverlichting. Zij doen dit middels statische controles maar ook tijdens de reguliere diensten in dynamische vorm.  De Boa’s verbaliseren hierbij in de basis enkel voor het niet voeren van fietsverlichting, knipperende fietsverlichting word in de basis niet verbaliseerd. De Boa’s voeren deze controles gedurende het hele jaar zelfstandig uit.</w:t>
            </w:r>
          </w:p>
          <w:p w14:paraId="4B5A4681" w14:textId="010A09D3" w:rsidR="009A016D" w:rsidRDefault="00E9022C" w:rsidP="00E9022C">
            <w:pPr>
              <w:spacing w:after="160" w:line="259" w:lineRule="auto"/>
            </w:pPr>
            <w:r>
              <w:t>Na onderlinge afstemming kunnen Politie en Boa’s gezamenlijk controles houden.</w:t>
            </w:r>
          </w:p>
          <w:p w14:paraId="21DEC8C9" w14:textId="5E0E61E0" w:rsidR="00E9022C" w:rsidRPr="000F5467" w:rsidRDefault="00E9022C" w:rsidP="00E9022C">
            <w:pPr>
              <w:spacing w:after="160" w:line="259" w:lineRule="auto"/>
            </w:pPr>
            <w:r>
              <w:t>De Boa’s voeren de taak pas zelfstandig uit als zij in het inwerktraject een instructie hebben gekregen en zij onder begeleiding van een senior Boa minimaal 2 statische controle acties hebben bijgewoond</w:t>
            </w:r>
          </w:p>
        </w:tc>
        <w:tc>
          <w:tcPr>
            <w:tcW w:w="3110" w:type="dxa"/>
            <w:gridSpan w:val="2"/>
          </w:tcPr>
          <w:p w14:paraId="75ECBCF5" w14:textId="1EF4018A" w:rsidR="00E9022C" w:rsidRDefault="00E9022C" w:rsidP="00E9022C">
            <w:pPr>
              <w:spacing w:after="160" w:line="259" w:lineRule="auto"/>
            </w:pPr>
            <w:r>
              <w:t xml:space="preserve">De politie kan handhaven op het voeren van geen of onjuiste fietsverlichting. Zij doen dit middels statische controles maar ook tijdens de reguliere diensten in dynamische vorm.  De politie verbaliseerd hierbij in de basis enkel voor het niet voeren van fietsverlichting, knipperende fietsverlichting word in de basis niet verbaliseerd. De politie voert deze controles gedurende het hele jaar zelfstandig uit.  </w:t>
            </w:r>
          </w:p>
          <w:p w14:paraId="6C235E1E" w14:textId="52A571C8" w:rsidR="00E9022C" w:rsidRDefault="00E9022C" w:rsidP="00E9022C">
            <w:pPr>
              <w:spacing w:after="160" w:line="259" w:lineRule="auto"/>
            </w:pPr>
            <w:r>
              <w:t xml:space="preserve">Na onderlinge afstemming tussen Boa’s en Politie kunnen gezamenlijke controles gehouden worden. </w:t>
            </w:r>
          </w:p>
          <w:p w14:paraId="21ABE670" w14:textId="105DB4C6" w:rsidR="009A016D" w:rsidRPr="00E9022C" w:rsidRDefault="009A016D" w:rsidP="000A6B38">
            <w:pPr>
              <w:spacing w:after="160" w:line="259" w:lineRule="auto"/>
              <w:rPr>
                <w:bCs/>
              </w:rPr>
            </w:pPr>
          </w:p>
        </w:tc>
      </w:tr>
      <w:tr w:rsidR="000C5B89" w14:paraId="6250917C" w14:textId="77777777" w:rsidTr="000C5B89">
        <w:tc>
          <w:tcPr>
            <w:tcW w:w="1251" w:type="dxa"/>
          </w:tcPr>
          <w:p w14:paraId="2CF0DAC2" w14:textId="77777777" w:rsidR="005C11A8" w:rsidRPr="00445288" w:rsidRDefault="005C11A8" w:rsidP="000A6B38">
            <w:pPr>
              <w:spacing w:line="259" w:lineRule="auto"/>
            </w:pPr>
          </w:p>
        </w:tc>
        <w:tc>
          <w:tcPr>
            <w:tcW w:w="1838" w:type="dxa"/>
          </w:tcPr>
          <w:p w14:paraId="2F050EE2" w14:textId="214030AB" w:rsidR="005C11A8" w:rsidRDefault="00E9022C" w:rsidP="000A6B38">
            <w:pPr>
              <w:spacing w:line="259" w:lineRule="auto"/>
            </w:pPr>
            <w:r>
              <w:t>Het negeren van rood licht door fietsers en voetgangers</w:t>
            </w:r>
          </w:p>
        </w:tc>
        <w:tc>
          <w:tcPr>
            <w:tcW w:w="3089" w:type="dxa"/>
          </w:tcPr>
          <w:p w14:paraId="1E7A5BA3" w14:textId="77777777" w:rsidR="00E9022C" w:rsidRDefault="00E9022C" w:rsidP="000A6B38">
            <w:pPr>
              <w:spacing w:line="259" w:lineRule="auto"/>
            </w:pPr>
            <w:r>
              <w:t xml:space="preserve">De Boa’s kunnen handhaven op het door rood lopen en fietsen. Zij doen dit middels statische controles maar ook tijdens de reguliere diensten.  </w:t>
            </w:r>
          </w:p>
          <w:p w14:paraId="1E97446E" w14:textId="77777777" w:rsidR="00B21DEA" w:rsidRDefault="00B21DEA" w:rsidP="000A6B38">
            <w:pPr>
              <w:spacing w:line="259" w:lineRule="auto"/>
            </w:pPr>
          </w:p>
          <w:p w14:paraId="2DC2BC5B" w14:textId="63932249" w:rsidR="005C11A8" w:rsidRDefault="00E9022C" w:rsidP="000A6B38">
            <w:pPr>
              <w:spacing w:line="259" w:lineRule="auto"/>
            </w:pPr>
            <w:r>
              <w:lastRenderedPageBreak/>
              <w:t xml:space="preserve">De Boa’s hebben geen ontheffing voor rood licht en dienen de verkeersregels zelf in acht te nemen. Zij mogen dus niet zelf door rood rijden/lopen om verbaliserend op te treden. </w:t>
            </w:r>
          </w:p>
          <w:p w14:paraId="73E64287" w14:textId="77777777" w:rsidR="00E9022C" w:rsidRDefault="00E9022C" w:rsidP="000A6B38">
            <w:pPr>
              <w:spacing w:line="259" w:lineRule="auto"/>
            </w:pPr>
          </w:p>
          <w:p w14:paraId="4EF2E82E" w14:textId="77777777" w:rsidR="00B21DEA" w:rsidRDefault="00B21DEA" w:rsidP="00B21DEA">
            <w:pPr>
              <w:spacing w:after="160" w:line="259" w:lineRule="auto"/>
            </w:pPr>
            <w:r>
              <w:t>Na onderlinge afstemming kunnen Politie en Boa’s gezamenlijk controles houden.</w:t>
            </w:r>
          </w:p>
          <w:p w14:paraId="7018B5BC" w14:textId="4B7C0A22" w:rsidR="00B21DEA" w:rsidRPr="002D4F1D" w:rsidRDefault="00B21DEA" w:rsidP="000A6B38">
            <w:pPr>
              <w:spacing w:line="259" w:lineRule="auto"/>
            </w:pPr>
            <w:r>
              <w:t>De Boa’s voeren de taak pas zelfstandig uit als zij in het inwerktraject een instructie hebben gekregen en zij onder begeleiding van een senior Boa minimaal 2 statische controle acties hebben bijgewoond</w:t>
            </w:r>
          </w:p>
        </w:tc>
        <w:tc>
          <w:tcPr>
            <w:tcW w:w="3110" w:type="dxa"/>
            <w:gridSpan w:val="2"/>
          </w:tcPr>
          <w:p w14:paraId="53779CBB" w14:textId="77777777" w:rsidR="00B21DEA" w:rsidRDefault="00B21DEA" w:rsidP="00B21DEA">
            <w:pPr>
              <w:spacing w:after="160" w:line="259" w:lineRule="auto"/>
            </w:pPr>
            <w:r>
              <w:lastRenderedPageBreak/>
              <w:t xml:space="preserve">De politie kan handhaven op het door rood lopen en fietsen. Zij doen dit middels statische controles maar ook tijdens de </w:t>
            </w:r>
            <w:r>
              <w:lastRenderedPageBreak/>
              <w:t xml:space="preserve">reguliere diensten in dynamische vorm.  </w:t>
            </w:r>
          </w:p>
          <w:p w14:paraId="4E5F81C3" w14:textId="77777777" w:rsidR="00B21DEA" w:rsidRDefault="00B21DEA" w:rsidP="00B21DEA">
            <w:pPr>
              <w:spacing w:after="160" w:line="259" w:lineRule="auto"/>
            </w:pPr>
            <w:r>
              <w:t xml:space="preserve">Na onderlinge afstemming tussen Boa’s en Politie kunnen gezamenlijke controles gehouden worden. </w:t>
            </w:r>
          </w:p>
          <w:p w14:paraId="7F00F1FE" w14:textId="77777777" w:rsidR="005C11A8" w:rsidRPr="00BC2AC1" w:rsidRDefault="005C11A8" w:rsidP="000A6B38"/>
        </w:tc>
      </w:tr>
      <w:tr w:rsidR="000C5B89" w14:paraId="07A0BA08" w14:textId="77777777" w:rsidTr="000C5B89">
        <w:tc>
          <w:tcPr>
            <w:tcW w:w="1251" w:type="dxa"/>
          </w:tcPr>
          <w:p w14:paraId="78CB7339" w14:textId="77777777" w:rsidR="00E9022C" w:rsidRPr="00445288" w:rsidRDefault="00E9022C" w:rsidP="000A6B38">
            <w:pPr>
              <w:spacing w:line="259" w:lineRule="auto"/>
            </w:pPr>
          </w:p>
        </w:tc>
        <w:tc>
          <w:tcPr>
            <w:tcW w:w="1838" w:type="dxa"/>
          </w:tcPr>
          <w:p w14:paraId="30104147" w14:textId="48EC45C4" w:rsidR="00E9022C" w:rsidRDefault="00E9022C" w:rsidP="000A6B38">
            <w:pPr>
              <w:spacing w:line="259" w:lineRule="auto"/>
            </w:pPr>
            <w:r>
              <w:t>Het handheld telefoongebruik door fietsers</w:t>
            </w:r>
          </w:p>
        </w:tc>
        <w:tc>
          <w:tcPr>
            <w:tcW w:w="3089" w:type="dxa"/>
          </w:tcPr>
          <w:p w14:paraId="244CF271" w14:textId="77777777" w:rsidR="00B21DEA" w:rsidRDefault="00B21DEA" w:rsidP="00B21DEA">
            <w:pPr>
              <w:spacing w:line="259" w:lineRule="auto"/>
            </w:pPr>
            <w:r>
              <w:t xml:space="preserve">De Boa’s kunnen handhaven op het handheld telefoongebruik door fietsers Zij doen dit middels statische controles maar ook tijdens de reguliere diensten in dynamische vorm.  </w:t>
            </w:r>
          </w:p>
          <w:p w14:paraId="397D77C6" w14:textId="77777777" w:rsidR="00B21DEA" w:rsidRDefault="00B21DEA" w:rsidP="00B21DEA">
            <w:pPr>
              <w:spacing w:line="259" w:lineRule="auto"/>
            </w:pPr>
          </w:p>
          <w:p w14:paraId="6D399F01" w14:textId="1D68BD8D" w:rsidR="00B21DEA" w:rsidRDefault="00B21DEA" w:rsidP="00B21DEA">
            <w:pPr>
              <w:spacing w:line="259" w:lineRule="auto"/>
            </w:pPr>
            <w:r>
              <w:t>De Boa’s voeren deze controles gedurende het hele jaar zelfstandig uit.</w:t>
            </w:r>
          </w:p>
          <w:p w14:paraId="5695C932" w14:textId="77777777" w:rsidR="00B21DEA" w:rsidRDefault="00B21DEA" w:rsidP="00B21DEA">
            <w:pPr>
              <w:spacing w:line="259" w:lineRule="auto"/>
            </w:pPr>
            <w:r>
              <w:t>Na onderlinge afstemming kunnen Politie en Boa’s gezamenlijk controles houden.</w:t>
            </w:r>
          </w:p>
          <w:p w14:paraId="698C8F40" w14:textId="77777777" w:rsidR="00B21DEA" w:rsidRDefault="00B21DEA" w:rsidP="00B21DEA">
            <w:pPr>
              <w:spacing w:line="259" w:lineRule="auto"/>
            </w:pPr>
          </w:p>
          <w:p w14:paraId="7AA50619" w14:textId="563C7CCC" w:rsidR="00E9022C" w:rsidRPr="002D4F1D" w:rsidRDefault="00B21DEA" w:rsidP="00B21DEA">
            <w:pPr>
              <w:spacing w:line="259" w:lineRule="auto"/>
            </w:pPr>
            <w:r>
              <w:t>De Boa’s voeren de taak pas zelfstandig uit als zij in het inwerktraject een instructie hebben gekregen en zij onder begeleiding van een senior Boa minimaal 2 statische controle acties hebben bijgewoond</w:t>
            </w:r>
          </w:p>
        </w:tc>
        <w:tc>
          <w:tcPr>
            <w:tcW w:w="3110" w:type="dxa"/>
            <w:gridSpan w:val="2"/>
          </w:tcPr>
          <w:p w14:paraId="669FDA68" w14:textId="6E894125" w:rsidR="00B21DEA" w:rsidRDefault="00B21DEA" w:rsidP="00B21DEA">
            <w:pPr>
              <w:spacing w:after="160" w:line="259" w:lineRule="auto"/>
            </w:pPr>
            <w:r>
              <w:t xml:space="preserve">De politie kan handhaven op het handheld telefoongebruik door fietsers. Zij doen dit middels statische controles maar ook tijdens de reguliere diensten in dynamische vorm.  </w:t>
            </w:r>
          </w:p>
          <w:p w14:paraId="1D8AA4D8" w14:textId="77777777" w:rsidR="00B21DEA" w:rsidRDefault="00B21DEA" w:rsidP="00B21DEA">
            <w:pPr>
              <w:spacing w:after="160" w:line="259" w:lineRule="auto"/>
            </w:pPr>
            <w:r>
              <w:t xml:space="preserve">Na onderlinge afstemming tussen Boa’s en Politie kunnen gezamenlijke controles gehouden worden. </w:t>
            </w:r>
          </w:p>
          <w:p w14:paraId="27E7EDF6" w14:textId="77777777" w:rsidR="00E9022C" w:rsidRPr="00BC2AC1" w:rsidRDefault="00E9022C" w:rsidP="000A6B38"/>
        </w:tc>
      </w:tr>
    </w:tbl>
    <w:p w14:paraId="6EA396F6" w14:textId="3D769FDA" w:rsidR="000C5B89" w:rsidRDefault="000C5B89"/>
    <w:p w14:paraId="0ADF35C1" w14:textId="77777777" w:rsidR="000C5B89" w:rsidRDefault="000C5B89">
      <w:pPr>
        <w:spacing w:line="259" w:lineRule="auto"/>
      </w:pPr>
      <w:r>
        <w:br w:type="page"/>
      </w:r>
    </w:p>
    <w:p w14:paraId="4FE90352" w14:textId="144E3154" w:rsidR="00B21DEA" w:rsidRDefault="00B21DEA">
      <w:r>
        <w:lastRenderedPageBreak/>
        <w:t>Besproken en vastgesteld in de lokale driehoek van Breda d.d. 5 februari 2024</w:t>
      </w:r>
    </w:p>
    <w:p w14:paraId="70FA66B9" w14:textId="77777777" w:rsidR="00B21DEA" w:rsidRDefault="00B21DEA"/>
    <w:tbl>
      <w:tblPr>
        <w:tblStyle w:val="Tabelraster"/>
        <w:tblW w:w="0" w:type="auto"/>
        <w:tblLook w:val="04A0" w:firstRow="1" w:lastRow="0" w:firstColumn="1" w:lastColumn="0" w:noHBand="0" w:noVBand="1"/>
      </w:tblPr>
      <w:tblGrid>
        <w:gridCol w:w="9062"/>
      </w:tblGrid>
      <w:tr w:rsidR="004E0BB7" w14:paraId="30E05C2C" w14:textId="77777777" w:rsidTr="004E0BB7">
        <w:tc>
          <w:tcPr>
            <w:tcW w:w="9212" w:type="dxa"/>
          </w:tcPr>
          <w:p w14:paraId="17BB0E7B" w14:textId="1A4F3D9F" w:rsidR="004E0BB7" w:rsidRDefault="004E0BB7">
            <w:pPr>
              <w:rPr>
                <w:b/>
                <w:bCs/>
              </w:rPr>
            </w:pPr>
            <w:r>
              <w:rPr>
                <w:b/>
                <w:bCs/>
              </w:rPr>
              <w:t xml:space="preserve">Burgemeester van </w:t>
            </w:r>
            <w:r w:rsidR="0006694A">
              <w:rPr>
                <w:b/>
                <w:bCs/>
              </w:rPr>
              <w:t>…</w:t>
            </w:r>
          </w:p>
          <w:p w14:paraId="44D2A9D6" w14:textId="77777777" w:rsidR="004E0BB7" w:rsidRDefault="004E0BB7">
            <w:pPr>
              <w:rPr>
                <w:b/>
                <w:bCs/>
              </w:rPr>
            </w:pPr>
          </w:p>
          <w:p w14:paraId="4F4B15BA" w14:textId="323F30B2" w:rsidR="004E0BB7" w:rsidRDefault="004E0BB7">
            <w:r>
              <w:t xml:space="preserve">Datum ondertekening: </w:t>
            </w:r>
          </w:p>
          <w:p w14:paraId="41A5233F" w14:textId="77777777" w:rsidR="004E0BB7" w:rsidRDefault="004E0BB7"/>
          <w:p w14:paraId="5280EADA" w14:textId="77777777" w:rsidR="004E0BB7" w:rsidRDefault="004E0BB7"/>
          <w:p w14:paraId="4A3788F0" w14:textId="77777777" w:rsidR="004E0BB7" w:rsidRDefault="004E0BB7"/>
          <w:p w14:paraId="758CED56" w14:textId="27D20867" w:rsidR="004E0BB7" w:rsidRPr="004E0BB7" w:rsidRDefault="004E0BB7">
            <w:r>
              <w:t>Handtekening:</w:t>
            </w:r>
          </w:p>
          <w:p w14:paraId="723686DA" w14:textId="57C8CF8B" w:rsidR="004E0BB7" w:rsidRPr="004E0BB7" w:rsidRDefault="004E0BB7">
            <w:pPr>
              <w:rPr>
                <w:b/>
                <w:bCs/>
              </w:rPr>
            </w:pPr>
          </w:p>
        </w:tc>
      </w:tr>
      <w:tr w:rsidR="004E0BB7" w14:paraId="794259E9" w14:textId="77777777" w:rsidTr="004E0BB7">
        <w:tc>
          <w:tcPr>
            <w:tcW w:w="9212" w:type="dxa"/>
          </w:tcPr>
          <w:p w14:paraId="24EF801C" w14:textId="4223CBE8" w:rsidR="004E0BB7" w:rsidRDefault="004E0BB7">
            <w:pPr>
              <w:rPr>
                <w:b/>
                <w:bCs/>
              </w:rPr>
            </w:pPr>
            <w:r>
              <w:rPr>
                <w:b/>
                <w:bCs/>
              </w:rPr>
              <w:t xml:space="preserve">Teamchef </w:t>
            </w:r>
            <w:r w:rsidR="0006694A">
              <w:rPr>
                <w:b/>
                <w:bCs/>
              </w:rPr>
              <w:t>…</w:t>
            </w:r>
          </w:p>
          <w:p w14:paraId="457BCFD6" w14:textId="77777777" w:rsidR="004E0BB7" w:rsidRDefault="004E0BB7">
            <w:pPr>
              <w:rPr>
                <w:b/>
                <w:bCs/>
              </w:rPr>
            </w:pPr>
          </w:p>
          <w:p w14:paraId="3A3B2B56" w14:textId="77777777" w:rsidR="004E0BB7" w:rsidRDefault="004E0BB7">
            <w:r>
              <w:t>Datum ondertekening:</w:t>
            </w:r>
          </w:p>
          <w:p w14:paraId="41AE432C" w14:textId="77777777" w:rsidR="004E0BB7" w:rsidRDefault="004E0BB7"/>
          <w:p w14:paraId="099CC037" w14:textId="77777777" w:rsidR="004E0BB7" w:rsidRDefault="004E0BB7"/>
          <w:p w14:paraId="166EE35B" w14:textId="77777777" w:rsidR="004E0BB7" w:rsidRDefault="004E0BB7"/>
          <w:p w14:paraId="2464B482" w14:textId="77777777" w:rsidR="004E0BB7" w:rsidRDefault="004E0BB7">
            <w:r>
              <w:t>Handtekening:</w:t>
            </w:r>
          </w:p>
          <w:p w14:paraId="2A3CCAF1" w14:textId="55209C6F" w:rsidR="004E0BB7" w:rsidRPr="004E0BB7" w:rsidRDefault="004E0BB7"/>
        </w:tc>
      </w:tr>
      <w:tr w:rsidR="004E0BB7" w14:paraId="307475B3" w14:textId="77777777" w:rsidTr="004E0BB7">
        <w:tc>
          <w:tcPr>
            <w:tcW w:w="9212" w:type="dxa"/>
          </w:tcPr>
          <w:p w14:paraId="12D4A36B" w14:textId="377E07E5" w:rsidR="000C5B89" w:rsidRDefault="000C5B89" w:rsidP="000C5B89">
            <w:pPr>
              <w:rPr>
                <w:b/>
                <w:bCs/>
              </w:rPr>
            </w:pPr>
            <w:r>
              <w:rPr>
                <w:b/>
                <w:bCs/>
              </w:rPr>
              <w:t xml:space="preserve">Teamchef </w:t>
            </w:r>
            <w:r w:rsidR="0006694A">
              <w:rPr>
                <w:b/>
                <w:bCs/>
              </w:rPr>
              <w:t>…</w:t>
            </w:r>
          </w:p>
          <w:p w14:paraId="028DF513" w14:textId="77777777" w:rsidR="000C5B89" w:rsidRDefault="000C5B89" w:rsidP="000C5B89">
            <w:pPr>
              <w:rPr>
                <w:b/>
                <w:bCs/>
              </w:rPr>
            </w:pPr>
          </w:p>
          <w:p w14:paraId="1AFF8C08" w14:textId="77777777" w:rsidR="000C5B89" w:rsidRDefault="000C5B89" w:rsidP="000C5B89">
            <w:r>
              <w:t>Datum ondertekening:</w:t>
            </w:r>
          </w:p>
          <w:p w14:paraId="58ABD63D" w14:textId="77777777" w:rsidR="000C5B89" w:rsidRDefault="000C5B89" w:rsidP="000C5B89"/>
          <w:p w14:paraId="5346D001" w14:textId="77777777" w:rsidR="000C5B89" w:rsidRDefault="000C5B89" w:rsidP="000C5B89"/>
          <w:p w14:paraId="5EA69B24" w14:textId="77777777" w:rsidR="000C5B89" w:rsidRDefault="000C5B89" w:rsidP="000C5B89"/>
          <w:p w14:paraId="389A99AF" w14:textId="77777777" w:rsidR="000C5B89" w:rsidRDefault="000C5B89" w:rsidP="000C5B89">
            <w:r>
              <w:t>Handtekening:</w:t>
            </w:r>
          </w:p>
          <w:p w14:paraId="01804219" w14:textId="77777777" w:rsidR="004E0BB7" w:rsidRDefault="004E0BB7"/>
        </w:tc>
      </w:tr>
      <w:tr w:rsidR="000C5B89" w14:paraId="0781FF04" w14:textId="77777777" w:rsidTr="004E0BB7">
        <w:tc>
          <w:tcPr>
            <w:tcW w:w="9212" w:type="dxa"/>
          </w:tcPr>
          <w:p w14:paraId="7B51015D" w14:textId="1A8B9269" w:rsidR="000C5B89" w:rsidRDefault="000C5B89" w:rsidP="000C5B89">
            <w:pPr>
              <w:rPr>
                <w:b/>
                <w:bCs/>
              </w:rPr>
            </w:pPr>
            <w:r>
              <w:rPr>
                <w:b/>
                <w:bCs/>
              </w:rPr>
              <w:t>De direct Toezichthouder – De Korpschef van politie</w:t>
            </w:r>
          </w:p>
          <w:p w14:paraId="7F0786C6" w14:textId="06D96FD7" w:rsidR="000C5B89" w:rsidRDefault="000C5B89" w:rsidP="000C5B89">
            <w:r>
              <w:t xml:space="preserve">Namens deze, de politiechef van de eenheid </w:t>
            </w:r>
            <w:r w:rsidR="0006694A">
              <w:t>….</w:t>
            </w:r>
          </w:p>
          <w:p w14:paraId="36546C9D" w14:textId="4BEE7A43" w:rsidR="000C5B89" w:rsidRPr="000C5B89" w:rsidRDefault="000C5B89" w:rsidP="000C5B89">
            <w:r>
              <w:t>Namens deze,</w:t>
            </w:r>
            <w:r w:rsidR="00B36267">
              <w:t xml:space="preserve"> ….</w:t>
            </w:r>
          </w:p>
          <w:p w14:paraId="6DAE3F0C" w14:textId="77777777" w:rsidR="000C5B89" w:rsidRDefault="000C5B89" w:rsidP="000C5B89">
            <w:pPr>
              <w:rPr>
                <w:b/>
                <w:bCs/>
              </w:rPr>
            </w:pPr>
          </w:p>
          <w:p w14:paraId="50B5AFB6" w14:textId="77777777" w:rsidR="000C5B89" w:rsidRDefault="000C5B89" w:rsidP="000C5B89">
            <w:r>
              <w:t>Datum ondertekening:</w:t>
            </w:r>
          </w:p>
          <w:p w14:paraId="6522B8CC" w14:textId="77777777" w:rsidR="000C5B89" w:rsidRDefault="000C5B89" w:rsidP="000C5B89"/>
          <w:p w14:paraId="00186898" w14:textId="77777777" w:rsidR="000C5B89" w:rsidRDefault="000C5B89" w:rsidP="000C5B89"/>
          <w:p w14:paraId="437133B5" w14:textId="77777777" w:rsidR="000C5B89" w:rsidRDefault="000C5B89" w:rsidP="000C5B89"/>
          <w:p w14:paraId="68D99233" w14:textId="77777777" w:rsidR="000C5B89" w:rsidRDefault="000C5B89" w:rsidP="000C5B89">
            <w:r>
              <w:t>Handtekening:</w:t>
            </w:r>
          </w:p>
          <w:p w14:paraId="2B6CC9AF" w14:textId="77777777" w:rsidR="000C5B89" w:rsidRDefault="000C5B89" w:rsidP="000C5B89">
            <w:pPr>
              <w:rPr>
                <w:b/>
                <w:bCs/>
              </w:rPr>
            </w:pPr>
          </w:p>
        </w:tc>
      </w:tr>
      <w:tr w:rsidR="000C5B89" w14:paraId="7E91F4E0" w14:textId="77777777" w:rsidTr="004E0BB7">
        <w:tc>
          <w:tcPr>
            <w:tcW w:w="9212" w:type="dxa"/>
          </w:tcPr>
          <w:p w14:paraId="11C646B9" w14:textId="15C9FFC3" w:rsidR="000C5B89" w:rsidRPr="000C5B89" w:rsidRDefault="000C5B89" w:rsidP="000C5B89">
            <w:r w:rsidRPr="000C5B89">
              <w:t>Voor gezien en akkoord</w:t>
            </w:r>
          </w:p>
          <w:p w14:paraId="4B6544C6" w14:textId="2D2BBA59" w:rsidR="000C5B89" w:rsidRPr="000C5B89" w:rsidRDefault="000C5B89" w:rsidP="000C5B89">
            <w:pPr>
              <w:rPr>
                <w:b/>
                <w:bCs/>
              </w:rPr>
            </w:pPr>
            <w:r>
              <w:rPr>
                <w:b/>
                <w:bCs/>
              </w:rPr>
              <w:t>De toezichthouder – De hoofdofficier van justitie bij het Parket</w:t>
            </w:r>
            <w:r w:rsidR="0006694A">
              <w:rPr>
                <w:b/>
                <w:bCs/>
              </w:rPr>
              <w:t xml:space="preserve"> …</w:t>
            </w:r>
          </w:p>
          <w:p w14:paraId="26DC662F" w14:textId="7048D131" w:rsidR="000C5B89" w:rsidRDefault="000C5B89" w:rsidP="000C5B89"/>
          <w:p w14:paraId="7E93E731" w14:textId="044359E5" w:rsidR="000C5B89" w:rsidRDefault="000C5B89" w:rsidP="000C5B89">
            <w:r>
              <w:t>Datum ondertekening:</w:t>
            </w:r>
          </w:p>
          <w:p w14:paraId="0B1947A7" w14:textId="77777777" w:rsidR="000C5B89" w:rsidRDefault="000C5B89" w:rsidP="000C5B89"/>
          <w:p w14:paraId="63DE8717" w14:textId="77777777" w:rsidR="000C5B89" w:rsidRDefault="000C5B89" w:rsidP="000C5B89"/>
          <w:p w14:paraId="6AF16AC0" w14:textId="77777777" w:rsidR="000C5B89" w:rsidRDefault="000C5B89" w:rsidP="000C5B89"/>
          <w:p w14:paraId="4A992915" w14:textId="77777777" w:rsidR="000C5B89" w:rsidRDefault="000C5B89" w:rsidP="000C5B89">
            <w:r>
              <w:t>Handtekening:</w:t>
            </w:r>
          </w:p>
          <w:p w14:paraId="0982EB85" w14:textId="77777777" w:rsidR="000C5B89" w:rsidRDefault="000C5B89" w:rsidP="000C5B89">
            <w:pPr>
              <w:rPr>
                <w:b/>
                <w:bCs/>
              </w:rPr>
            </w:pPr>
          </w:p>
        </w:tc>
      </w:tr>
    </w:tbl>
    <w:p w14:paraId="3082361A" w14:textId="77777777" w:rsidR="00B21DEA" w:rsidRDefault="00B21DEA"/>
    <w:sectPr w:rsidR="00B21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6D"/>
    <w:rsid w:val="0006694A"/>
    <w:rsid w:val="000B56A6"/>
    <w:rsid w:val="000C5B89"/>
    <w:rsid w:val="001367E7"/>
    <w:rsid w:val="004E0BB7"/>
    <w:rsid w:val="005C11A8"/>
    <w:rsid w:val="006B4DBB"/>
    <w:rsid w:val="009A016D"/>
    <w:rsid w:val="00B21DEA"/>
    <w:rsid w:val="00B36267"/>
    <w:rsid w:val="00E9022C"/>
    <w:rsid w:val="00EA361C"/>
    <w:rsid w:val="00F04A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1AA9"/>
  <w15:chartTrackingRefBased/>
  <w15:docId w15:val="{B3C5D639-051D-4A82-AF7D-20D7981A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016D"/>
    <w:pPr>
      <w:spacing w:line="276" w:lineRule="auto"/>
    </w:pPr>
    <w:rPr>
      <w:rFonts w:eastAsiaTheme="minorEastAsia"/>
      <w:kern w:val="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A016D"/>
    <w:pPr>
      <w:spacing w:after="0" w:line="240" w:lineRule="auto"/>
    </w:pPr>
    <w:rPr>
      <w:rFonts w:eastAsiaTheme="minorEastAsia"/>
      <w:kern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3734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Segers, R.J.W. (Robert)</dc:creator>
  <cp:keywords/>
  <dc:description/>
  <cp:lastModifiedBy>Jaco Huisman</cp:lastModifiedBy>
  <cp:revision>2</cp:revision>
  <dcterms:created xsi:type="dcterms:W3CDTF">2024-11-25T13:20:00Z</dcterms:created>
  <dcterms:modified xsi:type="dcterms:W3CDTF">2024-11-25T13:20:00Z</dcterms:modified>
</cp:coreProperties>
</file>