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outline w:val="0"/>
          <w:color w:val="19181a"/>
          <w:sz w:val="32"/>
          <w:szCs w:val="32"/>
          <w:u w:color="19181a"/>
          <w14:textFill>
            <w14:solidFill>
              <w14:srgbClr w14:val="19181A"/>
            </w14:solidFill>
          </w14:textFill>
        </w:rPr>
      </w:pPr>
      <w:r>
        <w:rPr>
          <w:rFonts w:ascii="Source Sans Pro" w:hAnsi="Source Sans Pro"/>
          <w:sz w:val="32"/>
          <w:szCs w:val="32"/>
          <w:rtl w:val="0"/>
          <w:lang w:val="en-US"/>
        </w:rPr>
        <w:t xml:space="preserve">VOORBEELD ONDERWERPEN </w:t>
      </w: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outline w:val="0"/>
          <w:color w:val="19181a"/>
          <w:u w:color="19181a"/>
          <w14:textFill>
            <w14:solidFill>
              <w14:srgbClr w14:val="19181A"/>
            </w14:solidFill>
          </w14:textFill>
        </w:rPr>
      </w:pPr>
      <w:r>
        <w:rPr>
          <w:rFonts w:ascii="Source Sans Pro" w:hAnsi="Source Sans Pro" w:hint="default"/>
          <w:outline w:val="0"/>
          <w:color w:val="19181a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 </w:t>
      </w: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b w:val="1"/>
          <w:bCs w:val="1"/>
          <w:outline w:val="0"/>
          <w:color w:val="19181a"/>
          <w:sz w:val="22"/>
          <w:szCs w:val="22"/>
          <w:u w:color="19181a"/>
          <w14:textFill>
            <w14:solidFill>
              <w14:srgbClr w14:val="19181A"/>
            </w14:solidFill>
          </w14:textFill>
        </w:rPr>
      </w:pPr>
      <w:r>
        <w:rPr>
          <w:rFonts w:ascii="Source Sans Pro" w:hAnsi="Source Sans Pro"/>
          <w:b w:val="1"/>
          <w:bCs w:val="1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Onderwerpen die betrekking hebben op de Wkb en een leidraad kunnen bieden bij het bepalen van het programma van een informatiebijeenkomst: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br w:type="textWrapping"/>
        <w:t xml:space="preserve"> </w:t>
      </w:r>
    </w:p>
    <w:p>
      <w:pPr>
        <w:pStyle w:val="Normal (Web)"/>
        <w:numPr>
          <w:ilvl w:val="0"/>
          <w:numId w:val="1"/>
        </w:numPr>
        <w:shd w:val="clear" w:color="auto" w:fill="ffffff"/>
        <w:spacing w:before="240" w:after="120" w:line="264" w:lineRule="auto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S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telsel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wijziging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Wet kwaliteitsborging bouw i.r.t. de Omgevingswet</w:t>
      </w:r>
    </w:p>
    <w:p>
      <w:pPr>
        <w:pStyle w:val="Normal (Web)"/>
        <w:numPr>
          <w:ilvl w:val="0"/>
          <w:numId w:val="1"/>
        </w:numPr>
        <w:shd w:val="clear" w:color="auto" w:fill="ffffff"/>
        <w:spacing w:before="240" w:after="120" w:line="264" w:lineRule="auto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Gefaseerde inwerkingtreding Wkb (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Verbouw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ingen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per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1-1-2025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en Bouwwerken GK 2 en 3)</w:t>
      </w:r>
    </w:p>
    <w:p>
      <w:pPr>
        <w:pStyle w:val="Normal (Web)"/>
        <w:numPr>
          <w:ilvl w:val="0"/>
          <w:numId w:val="1"/>
        </w:numPr>
        <w:shd w:val="clear" w:color="auto" w:fill="ffffff"/>
        <w:spacing w:before="240" w:after="120" w:line="264" w:lineRule="auto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Proces van m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eldingen en info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rmatie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plichten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onder de Wkb</w:t>
      </w:r>
    </w:p>
    <w:p>
      <w:pPr>
        <w:pStyle w:val="Normal (Web)"/>
        <w:numPr>
          <w:ilvl w:val="0"/>
          <w:numId w:val="1"/>
        </w:numPr>
        <w:shd w:val="clear" w:color="auto" w:fill="ffffff"/>
        <w:spacing w:before="240" w:after="120" w:line="264" w:lineRule="auto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Toezicht en H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andhaving gemeente (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i.g.v.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strijdigheid of geen verklaring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kwaliteitsborger)</w:t>
      </w:r>
    </w:p>
    <w:p>
      <w:pPr>
        <w:pStyle w:val="Normal (Web)"/>
        <w:numPr>
          <w:ilvl w:val="0"/>
          <w:numId w:val="1"/>
        </w:numPr>
        <w:shd w:val="clear" w:color="auto" w:fill="ffffff"/>
        <w:spacing w:before="240" w:after="120" w:line="264" w:lineRule="auto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Bijzondere lokale omstandigheden onder kwaliteitsborging</w:t>
      </w:r>
    </w:p>
    <w:p>
      <w:pPr>
        <w:pStyle w:val="Normal (Web)"/>
        <w:numPr>
          <w:ilvl w:val="0"/>
          <w:numId w:val="1"/>
        </w:numPr>
        <w:shd w:val="clear" w:color="auto" w:fill="ffffff"/>
        <w:spacing w:before="240" w:after="120" w:line="264" w:lineRule="auto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Impact op bedrijfsvoering en dienstverlening gemeente </w:t>
      </w:r>
    </w:p>
    <w:p>
      <w:pPr>
        <w:pStyle w:val="Normal (Web)"/>
        <w:numPr>
          <w:ilvl w:val="0"/>
          <w:numId w:val="1"/>
        </w:numPr>
        <w:shd w:val="clear" w:color="auto" w:fill="ffffff"/>
        <w:spacing w:before="240" w:after="120" w:line="264" w:lineRule="auto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Financi</w:t>
      </w:r>
      <w:r>
        <w:rPr>
          <w:rFonts w:ascii="Source Sans Pro" w:hAnsi="Source Sans Pro" w:hint="default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ë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n, l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eges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verordening en begroting</w:t>
      </w:r>
    </w:p>
    <w:p>
      <w:pPr>
        <w:pStyle w:val="Normal (Web)"/>
        <w:numPr>
          <w:ilvl w:val="0"/>
          <w:numId w:val="1"/>
        </w:numPr>
        <w:shd w:val="clear" w:color="auto" w:fill="ffffff"/>
        <w:spacing w:before="240" w:after="120" w:line="264" w:lineRule="auto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Belang van oefenen en ervaren met Wkb-p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roefproject en proeftuin (workshops)</w:t>
      </w:r>
    </w:p>
    <w:p>
      <w:pPr>
        <w:pStyle w:val="Normal (Web)"/>
        <w:numPr>
          <w:ilvl w:val="0"/>
          <w:numId w:val="1"/>
        </w:numPr>
        <w:shd w:val="clear" w:color="auto" w:fill="ffffff"/>
        <w:spacing w:before="240" w:after="120" w:line="264" w:lineRule="auto"/>
        <w:rPr>
          <w:rFonts w:ascii="Source Sans Pro" w:hAnsi="Source Sans Pro"/>
          <w:sz w:val="22"/>
          <w:szCs w:val="22"/>
          <w:lang w:val="en-US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Belang van monitoren en evalueren van de Wkb</w:t>
      </w: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outline w:val="0"/>
          <w:color w:val="19181a"/>
          <w:sz w:val="22"/>
          <w:szCs w:val="22"/>
          <w:u w:color="19181a"/>
          <w14:textFill>
            <w14:solidFill>
              <w14:srgbClr w14:val="19181A"/>
            </w14:solidFill>
          </w14:textFill>
        </w:rPr>
      </w:pPr>
    </w:p>
    <w:p>
      <w:pPr>
        <w:pStyle w:val="Normal (Web)"/>
        <w:shd w:val="clear" w:color="auto" w:fill="ffffff"/>
        <w:spacing w:before="240" w:after="120" w:line="264" w:lineRule="auto"/>
      </w:pPr>
      <w:r>
        <w:rPr>
          <w:rFonts w:ascii="Source Sans Pro" w:cs="Source Sans Pro" w:hAnsi="Source Sans Pro" w:eastAsia="Source Sans Pro"/>
          <w:outline w:val="0"/>
          <w:color w:val="19181a"/>
          <w:sz w:val="22"/>
          <w:szCs w:val="22"/>
          <w:u w:color="19181a"/>
          <w14:textFill>
            <w14:solidFill>
              <w14:srgbClr w14:val="19181A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