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5A1EAF" w14:paraId="669D78CE" wp14:textId="6C1B1522">
      <w:pPr>
        <w:rPr>
          <w:rFonts w:ascii="Arial" w:hAnsi="Arial" w:eastAsia="Arial" w:cs="Arial"/>
          <w:b w:val="1"/>
          <w:bCs w:val="1"/>
          <w:noProof w:val="0"/>
          <w:sz w:val="36"/>
          <w:szCs w:val="36"/>
          <w:lang w:val="nl-NL"/>
        </w:rPr>
      </w:pPr>
      <w:r w:rsidRPr="1C5A1EAF" w:rsidR="09957DB8">
        <w:rPr>
          <w:rFonts w:ascii="Arial" w:hAnsi="Arial" w:eastAsia="Arial" w:cs="Arial"/>
          <w:b w:val="1"/>
          <w:bCs w:val="1"/>
          <w:noProof w:val="0"/>
          <w:sz w:val="36"/>
          <w:szCs w:val="36"/>
          <w:lang w:val="nl-NL"/>
        </w:rPr>
        <w:t>College van B&amp;W</w:t>
      </w:r>
    </w:p>
    <w:tbl>
      <w:tblPr>
        <w:tblStyle w:val="TableNormal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2202"/>
        <w:gridCol w:w="6813"/>
      </w:tblGrid>
      <w:tr w:rsidR="1C5A1EAF" w:rsidTr="47DB0069" w14:paraId="4CAC4E44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3FA61928" w14:textId="0DB42404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</w:rPr>
              <w:t>Datum</w:t>
            </w:r>
          </w:p>
        </w:tc>
        <w:tc>
          <w:tcPr>
            <w:tcW w:w="6813" w:type="dxa"/>
            <w:tcBorders>
              <w:top w:val="nil"/>
              <w:left w:val="single" w:sz="8"/>
              <w:bottom w:val="single" w:sz="8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7242BE92" w14:textId="295E4E5F">
            <w:pPr>
              <w:rPr>
                <w:rFonts w:ascii="Arial" w:hAnsi="Arial" w:eastAsia="Arial" w:cs="Arial"/>
                <w:sz w:val="24"/>
                <w:szCs w:val="24"/>
                <w:highlight w:val="yellow"/>
                <w:lang w:val="en-US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ntb</w:t>
            </w:r>
          </w:p>
        </w:tc>
      </w:tr>
      <w:tr w:rsidR="1C5A1EAF" w:rsidTr="47DB0069" w14:paraId="6B5F4697">
        <w:trPr>
          <w:trHeight w:val="300"/>
        </w:trPr>
        <w:tc>
          <w:tcPr>
            <w:tcW w:w="220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5B4867C2" w14:textId="19D41CA3">
            <w:pPr>
              <w:rPr>
                <w:rFonts w:ascii="Arial" w:hAnsi="Arial" w:eastAsia="Arial" w:cs="Arial"/>
                <w:sz w:val="24"/>
                <w:szCs w:val="24"/>
                <w:highlight w:val="yellow"/>
                <w:lang w:val="en-US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Zaaknummer</w:t>
            </w:r>
          </w:p>
        </w:tc>
        <w:tc>
          <w:tcPr>
            <w:tcW w:w="6813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069E5056" w14:textId="031692F4">
            <w:pPr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</w:rPr>
              <w:t>ntb</w:t>
            </w:r>
          </w:p>
        </w:tc>
      </w:tr>
      <w:tr w:rsidR="1C5A1EAF" w:rsidTr="47DB0069" w14:paraId="15063B66">
        <w:trPr>
          <w:trHeight w:val="300"/>
        </w:trPr>
        <w:tc>
          <w:tcPr>
            <w:tcW w:w="220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087E949B" w14:textId="48DFF40B">
            <w:pPr>
              <w:rPr>
                <w:rFonts w:ascii="Arial" w:hAnsi="Arial" w:eastAsia="Arial" w:cs="Arial"/>
                <w:sz w:val="24"/>
                <w:szCs w:val="24"/>
                <w:highlight w:val="yellow"/>
                <w:lang w:val="en-US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Afdeling</w:t>
            </w:r>
          </w:p>
        </w:tc>
        <w:tc>
          <w:tcPr>
            <w:tcW w:w="6813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41D4991E" w14:textId="5D67FA0D">
            <w:pPr>
              <w:rPr>
                <w:rFonts w:ascii="Arial" w:hAnsi="Arial" w:eastAsia="Arial" w:cs="Arial"/>
                <w:sz w:val="24"/>
                <w:szCs w:val="24"/>
                <w:highlight w:val="yellow"/>
                <w:lang w:val="en-US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ntb</w:t>
            </w:r>
          </w:p>
        </w:tc>
      </w:tr>
      <w:tr w:rsidR="1C5A1EAF" w:rsidTr="47DB0069" w14:paraId="288EFEAE">
        <w:trPr>
          <w:trHeight w:val="300"/>
        </w:trPr>
        <w:tc>
          <w:tcPr>
            <w:tcW w:w="220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4A5B3CDC" w14:textId="2E605E6A">
            <w:pPr>
              <w:rPr>
                <w:rFonts w:ascii="Arial" w:hAnsi="Arial" w:eastAsia="Arial" w:cs="Arial"/>
                <w:sz w:val="24"/>
                <w:szCs w:val="24"/>
                <w:highlight w:val="yellow"/>
                <w:lang w:val="en-US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Portefeuillehouder</w:t>
            </w:r>
          </w:p>
        </w:tc>
        <w:tc>
          <w:tcPr>
            <w:tcW w:w="6813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58082111" w14:textId="1932FC9B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</w:rPr>
              <w:t>ntb</w:t>
            </w:r>
          </w:p>
        </w:tc>
      </w:tr>
      <w:tr w:rsidR="47DB0069" w:rsidTr="47DB0069" w14:paraId="48426F20">
        <w:trPr>
          <w:trHeight w:val="300"/>
        </w:trPr>
        <w:tc>
          <w:tcPr>
            <w:tcW w:w="2202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B2BC131" w:rsidP="47DB0069" w:rsidRDefault="7B2BC131" w14:paraId="39060BA1" w14:textId="43FE47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</w:pPr>
            <w:r w:rsidRPr="47DB0069" w:rsidR="7B2BC131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Ter</w:t>
            </w:r>
            <w:r w:rsidRPr="47DB0069" w:rsidR="1CE23096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m</w:t>
            </w:r>
            <w:r w:rsidRPr="47DB0069" w:rsidR="7B2BC131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ijngebonden</w:t>
            </w:r>
          </w:p>
        </w:tc>
        <w:tc>
          <w:tcPr>
            <w:tcW w:w="6813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B2BC131" w:rsidP="47DB0069" w:rsidRDefault="7B2BC131" w14:paraId="37FE50E9" w14:textId="632CAC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  <w:r w:rsidRPr="47DB0069" w:rsidR="7B2BC131">
              <w:rPr>
                <w:rFonts w:ascii="Arial" w:hAnsi="Arial" w:eastAsia="Arial" w:cs="Arial"/>
                <w:sz w:val="22"/>
                <w:szCs w:val="22"/>
                <w:highlight w:val="yellow"/>
              </w:rPr>
              <w:t>Ja</w:t>
            </w:r>
          </w:p>
        </w:tc>
      </w:tr>
      <w:tr w:rsidR="1C5A1EAF" w:rsidTr="47DB0069" w14:paraId="04AF7973">
        <w:trPr>
          <w:trHeight w:val="300"/>
        </w:trPr>
        <w:tc>
          <w:tcPr>
            <w:tcW w:w="2202" w:type="dxa"/>
            <w:tcBorders>
              <w:top w:val="single" w:sz="8"/>
              <w:left w:val="nil"/>
              <w:bottom w:val="nil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1C5A1EAF" w:rsidRDefault="1C5A1EAF" w14:paraId="31E5DB33" w14:textId="479D7357">
            <w:pPr>
              <w:rPr>
                <w:rFonts w:ascii="Arial" w:hAnsi="Arial" w:eastAsia="Arial" w:cs="Arial"/>
                <w:sz w:val="24"/>
                <w:szCs w:val="24"/>
                <w:highlight w:val="yellow"/>
                <w:lang w:val="en-US"/>
              </w:rPr>
            </w:pPr>
            <w:r w:rsidRPr="1C5A1EAF" w:rsidR="1C5A1EAF">
              <w:rPr>
                <w:rFonts w:ascii="Arial" w:hAnsi="Arial" w:eastAsia="Arial" w:cs="Arial"/>
                <w:sz w:val="22"/>
                <w:szCs w:val="22"/>
                <w:highlight w:val="yellow"/>
                <w:lang w:val="en-US"/>
              </w:rPr>
              <w:t>Onderwerp</w:t>
            </w:r>
          </w:p>
        </w:tc>
        <w:tc>
          <w:tcPr>
            <w:tcW w:w="6813" w:type="dxa"/>
            <w:tcBorders>
              <w:top w:val="single" w:sz="8"/>
              <w:left w:val="single" w:sz="8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C5A1EAF" w:rsidP="6D7470F2" w:rsidRDefault="1C5A1EAF" w14:paraId="7B4EF5D6" w14:textId="783FA98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highlight w:val="yellow"/>
              </w:rPr>
            </w:pPr>
            <w:r w:rsidRPr="47DB0069" w:rsidR="40CCA1F4">
              <w:rPr>
                <w:rFonts w:ascii="Arial" w:hAnsi="Arial" w:eastAsia="Arial" w:cs="Arial"/>
                <w:b w:val="1"/>
                <w:bCs w:val="1"/>
                <w:sz w:val="22"/>
                <w:szCs w:val="22"/>
                <w:highlight w:val="yellow"/>
              </w:rPr>
              <w:t xml:space="preserve">Verkorten </w:t>
            </w:r>
            <w:r w:rsidRPr="47DB0069" w:rsidR="40CCA1F4">
              <w:rPr>
                <w:rFonts w:ascii="Arial" w:hAnsi="Arial" w:eastAsia="Arial" w:cs="Arial"/>
                <w:b w:val="1"/>
                <w:bCs w:val="1"/>
                <w:sz w:val="22"/>
                <w:szCs w:val="22"/>
                <w:highlight w:val="yellow"/>
              </w:rPr>
              <w:t>aflosper</w:t>
            </w:r>
            <w:r w:rsidRPr="47DB0069" w:rsidR="40CCA1F4">
              <w:rPr>
                <w:rFonts w:ascii="Arial" w:hAnsi="Arial" w:eastAsia="Arial" w:cs="Arial"/>
                <w:b w:val="1"/>
                <w:bCs w:val="1"/>
                <w:sz w:val="22"/>
                <w:szCs w:val="22"/>
                <w:highlight w:val="yellow"/>
              </w:rPr>
              <w:t>iode van minnelijke schuldregelingen</w:t>
            </w:r>
            <w:r w:rsidRPr="47DB0069" w:rsidR="6386DB7B">
              <w:rPr>
                <w:rFonts w:ascii="Arial" w:hAnsi="Arial" w:eastAsia="Arial" w:cs="Arial"/>
                <w:b w:val="1"/>
                <w:bCs w:val="1"/>
                <w:sz w:val="22"/>
                <w:szCs w:val="22"/>
                <w:highlight w:val="cyan"/>
              </w:rPr>
              <w:t xml:space="preserve"> </w:t>
            </w:r>
          </w:p>
        </w:tc>
      </w:tr>
    </w:tbl>
    <w:p xmlns:wp14="http://schemas.microsoft.com/office/word/2010/wordml" w:rsidP="1C5A1EAF" w14:paraId="7ABA7797" wp14:textId="31C8CB9D">
      <w:pPr>
        <w:pStyle w:val="Heading1"/>
        <w:rPr>
          <w:rFonts w:ascii="Arial" w:hAnsi="Arial" w:eastAsia="Arial" w:cs="Arial"/>
          <w:noProof w:val="0"/>
          <w:sz w:val="24"/>
          <w:szCs w:val="24"/>
          <w:lang w:val="nl-NL"/>
        </w:rPr>
      </w:pPr>
      <w:r w:rsidRPr="1C5A1EAF" w:rsidR="09957DB8">
        <w:rPr>
          <w:rFonts w:ascii="Arial" w:hAnsi="Arial" w:eastAsia="Arial" w:cs="Arial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47DB0069" w14:paraId="54BFEA1B" wp14:textId="0343CE5F">
      <w:pPr>
        <w:rPr>
          <w:rFonts w:ascii="Arial" w:hAnsi="Arial" w:eastAsia="Arial" w:cs="Arial"/>
          <w:noProof w:val="0"/>
          <w:sz w:val="22"/>
          <w:szCs w:val="22"/>
          <w:lang w:val="nl-NL"/>
        </w:rPr>
      </w:pPr>
      <w:r w:rsidRPr="47DB0069" w:rsidR="09957DB8">
        <w:rPr>
          <w:rFonts w:ascii="Arial" w:hAnsi="Arial" w:eastAsia="Arial" w:cs="Arial"/>
          <w:noProof w:val="0"/>
          <w:sz w:val="20"/>
          <w:szCs w:val="20"/>
          <w:lang w:val="nl-NL"/>
        </w:rPr>
        <w:t xml:space="preserve"> </w:t>
      </w:r>
    </w:p>
    <w:p xmlns:wp14="http://schemas.microsoft.com/office/word/2010/wordml" w:rsidP="47DB0069" w14:paraId="57A35F2B" wp14:textId="2BBD19E1">
      <w:pPr>
        <w:pStyle w:val="Heading1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</w:pPr>
      <w:r w:rsidRPr="47DB0069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Besluit</w:t>
      </w:r>
    </w:p>
    <w:p xmlns:wp14="http://schemas.microsoft.com/office/word/2010/wordml" w:rsidP="47DB0069" w14:paraId="184D426E" wp14:textId="2CA8E7B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highlight w:val="yellow"/>
          <w:lang w:val="nl-NL"/>
        </w:rPr>
      </w:pP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Tot het </w:t>
      </w:r>
      <w:r w:rsidRPr="47DB0069" w:rsidR="5BA1BEF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verkorten 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van de aflos</w:t>
      </w:r>
      <w:r w:rsidRPr="47DB0069" w:rsidR="4733385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periode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 van een schuldregeling in een 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Msnp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 naar 18 maanden</w:t>
      </w:r>
      <w:r w:rsidRPr="47DB0069" w:rsidR="4553F91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.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 </w:t>
      </w:r>
    </w:p>
    <w:p xmlns:wp14="http://schemas.microsoft.com/office/word/2010/wordml" w:rsidP="47DB0069" w14:paraId="4623A240" wp14:textId="3F5A7D1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highlight w:val="yellow"/>
          <w:lang w:val="nl-NL"/>
        </w:rPr>
      </w:pPr>
      <w:r w:rsidRPr="47DB0069" w:rsidR="11A1F2EA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To</w:t>
      </w:r>
      <w:r w:rsidRPr="47DB0069" w:rsidR="11A1F2EA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t het derhalve wijzigen van de aflos</w:t>
      </w:r>
      <w:r w:rsidRPr="47DB0069" w:rsidR="0E82B872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periode</w:t>
      </w:r>
      <w:r w:rsidRPr="47DB0069" w:rsidR="11A1F2EA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 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zoals beschreven in artikel 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highlight w:val="yellow"/>
          <w:lang w:val="nl-NL"/>
        </w:rPr>
        <w:t>[artikelnummer waar nu de 36 maanden</w:t>
      </w:r>
      <w:r w:rsidRPr="47DB0069" w:rsidR="77C6B5D2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highlight w:val="yellow"/>
          <w:lang w:val="nl-NL"/>
        </w:rPr>
        <w:t xml:space="preserve"> periode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highlight w:val="yellow"/>
          <w:lang w:val="nl-NL"/>
        </w:rPr>
        <w:t xml:space="preserve"> is genoemd]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 van de Beleid</w:t>
      </w:r>
      <w:r w:rsidRPr="47DB0069" w:rsidR="63EE8B7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sr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egels 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highlight w:val="yellow"/>
          <w:lang w:val="nl-NL"/>
        </w:rPr>
        <w:t>[naam beleidsregels]</w:t>
      </w:r>
    </w:p>
    <w:p xmlns:wp14="http://schemas.microsoft.com/office/word/2010/wordml" w:rsidP="47DB0069" w14:paraId="0CA938D1" wp14:textId="21822BB1">
      <w:pPr>
        <w:pStyle w:val="ListParagraph"/>
        <w:numPr>
          <w:ilvl w:val="0"/>
          <w:numId w:val="1"/>
        </w:numPr>
        <w:spacing w:line="312" w:lineRule="auto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</w:pP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>Te bepalen dat dit besluit</w:t>
      </w:r>
      <w:r w:rsidRPr="47DB0069" w:rsidR="1CAA6BD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 tot wijziging</w:t>
      </w:r>
      <w:r w:rsidRPr="47DB0069" w:rsidR="09957DB8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nl-NL"/>
        </w:rPr>
        <w:t xml:space="preserve"> in werking treedt op 1 juli 2023.</w:t>
      </w:r>
    </w:p>
    <w:p xmlns:wp14="http://schemas.microsoft.com/office/word/2010/wordml" w:rsidP="1C5A1EAF" w14:paraId="6535A35A" wp14:textId="61478C97">
      <w:pPr>
        <w:pStyle w:val="Heading1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</w:pPr>
      <w:r w:rsidRPr="47DB0069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I</w:t>
      </w:r>
      <w:r w:rsidRPr="47DB0069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nleiding</w:t>
      </w:r>
    </w:p>
    <w:p xmlns:wp14="http://schemas.microsoft.com/office/word/2010/wordml" w:rsidP="47DB0069" w14:paraId="0A55B9F9" wp14:textId="40877EBF">
      <w:pPr>
        <w:pStyle w:val="Normal"/>
        <w:spacing w:line="276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</w:pPr>
      <w:r w:rsidRPr="47DB0069" w:rsidR="3930DA5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>De Eerste Ka</w:t>
      </w:r>
      <w:r w:rsidRPr="47DB0069" w:rsidR="3930DA5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mer </w:t>
      </w:r>
      <w:r w:rsidRPr="47DB0069" w:rsidR="3585350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heeft </w:t>
      </w:r>
      <w:r w:rsidRPr="47DB0069" w:rsidR="3930DA5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op 7 februari jl. </w:t>
      </w:r>
      <w:r w:rsidRPr="47DB0069" w:rsidR="4DA71C7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Ingestemd met </w:t>
      </w:r>
      <w:r w:rsidRPr="47DB0069" w:rsidR="3930DA5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de </w:t>
      </w:r>
      <w:hyperlink r:id="R552220a902654e75">
        <w:r w:rsidRPr="47DB0069" w:rsidR="3930DA5D">
          <w:rPr>
            <w:rStyle w:val="Hyperlink"/>
            <w:rFonts w:ascii="Arial" w:hAnsi="Arial" w:eastAsia="Arial" w:cs="Arial"/>
            <w:noProof w:val="0"/>
            <w:sz w:val="22"/>
            <w:szCs w:val="22"/>
            <w:lang w:val="nl-NL"/>
          </w:rPr>
          <w:t>wijziging van de Faillissementswet</w:t>
        </w:r>
      </w:hyperlink>
      <w:r w:rsidRPr="47DB0069" w:rsidR="3930DA5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47DB0069" w:rsidR="2120A2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>Bij amendement is in deze wet opgenomen dat de duur van een traject Wettelijke schuldsanering natuurlijke personen (</w:t>
      </w:r>
      <w:r w:rsidRPr="47DB0069" w:rsidR="2120A2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>Wsnp</w:t>
      </w:r>
      <w:r w:rsidRPr="47DB0069" w:rsidR="2120A2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) in principe wordt verkort tot 18 maanden. Het kabinet streeft </w:t>
      </w:r>
      <w:r w:rsidRPr="47DB0069" w:rsidR="2120A2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>ernaar</w:t>
      </w:r>
      <w:r w:rsidRPr="47DB0069" w:rsidR="2120A2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om de wijzigingen in de </w:t>
      </w:r>
      <w:r w:rsidRPr="47DB0069" w:rsidR="2120A2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>Wsnp</w:t>
      </w:r>
      <w:r w:rsidRPr="47DB0069" w:rsidR="2120A2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op 1 januari 2024 in werking te laten treden. Omdat het minnelijk traject voorafgaat aan het wettelijke traject is het wenselijk dat in beide trajecten dezelfde termijnen worden gehanteerd. </w:t>
      </w:r>
    </w:p>
    <w:p xmlns:wp14="http://schemas.microsoft.com/office/word/2010/wordml" w:rsidP="1C5A1EAF" w14:paraId="57115291" wp14:textId="2295701E">
      <w:pPr>
        <w:pStyle w:val="Heading1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</w:pPr>
      <w:r w:rsidRPr="6D7470F2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Beoogd maatschappelijk effect</w:t>
      </w:r>
    </w:p>
    <w:p w:rsidR="15EC7564" w:rsidP="47DB0069" w:rsidRDefault="15EC7564" w14:paraId="12C5EF31" w14:textId="01388559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</w:pPr>
      <w:r w:rsidRPr="47DB0069" w:rsidR="15EC7564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Het bieden van perspectief op een schuldenvrije toekomst voor inwoners in een problematische schuldsituatie. </w:t>
      </w:r>
    </w:p>
    <w:p xmlns:wp14="http://schemas.microsoft.com/office/word/2010/wordml" w:rsidP="1C5A1EAF" w14:paraId="124EB8AC" wp14:textId="62F731F4">
      <w:pPr>
        <w:pStyle w:val="Heading1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</w:pPr>
      <w:r w:rsidRPr="1C5A1EAF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Argumenten</w:t>
      </w:r>
    </w:p>
    <w:p xmlns:wp14="http://schemas.microsoft.com/office/word/2010/wordml" w:rsidP="6D7470F2" w14:paraId="4E82A727" wp14:textId="4D4A8890">
      <w:pPr>
        <w:pStyle w:val="ListParagraph"/>
        <w:numPr>
          <w:ilvl w:val="0"/>
          <w:numId w:val="3"/>
        </w:numPr>
        <w:tabs>
          <w:tab w:val="left" w:leader="none" w:pos="720"/>
        </w:tabs>
        <w:spacing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</w:pPr>
      <w:r w:rsidRPr="47DB0069" w:rsidR="316A13FE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De looptijd van een schuldregeling in een </w:t>
      </w:r>
      <w:r w:rsidRPr="47DB0069" w:rsidR="316A13FE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Msnp</w:t>
      </w:r>
      <w:r w:rsidRPr="47DB0069" w:rsidR="316A13FE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is niet wettelijk geregeld, maar een afspraak tussen de schuldhulpverlener en de schuldeisers. </w:t>
      </w:r>
    </w:p>
    <w:p xmlns:wp14="http://schemas.microsoft.com/office/word/2010/wordml" w:rsidP="6D7470F2" w14:paraId="5898864A" wp14:textId="53795A76">
      <w:pPr>
        <w:pStyle w:val="ListParagraph"/>
        <w:numPr>
          <w:ilvl w:val="0"/>
          <w:numId w:val="3"/>
        </w:numPr>
        <w:tabs>
          <w:tab w:val="left" w:leader="none" w:pos="720"/>
        </w:tabs>
        <w:spacing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</w:pPr>
      <w:r w:rsidRPr="47DB0069" w:rsidR="3D6BDD7B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Het komen tot een buitengerechtelijke schuldregeling (</w:t>
      </w:r>
      <w:r w:rsidRPr="47DB0069" w:rsidR="3D6BDD7B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Msnp</w:t>
      </w:r>
      <w:r w:rsidRPr="47DB0069" w:rsidR="3D6BDD7B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) is voorliggend aan het wettelijke traject (</w:t>
      </w:r>
      <w:r w:rsidRPr="47DB0069" w:rsidR="3D6BDD7B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Wsnp</w:t>
      </w:r>
      <w:r w:rsidRPr="47DB0069" w:rsidR="3D6BDD7B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). </w:t>
      </w:r>
      <w:r w:rsidRPr="47DB0069" w:rsidR="5CE96F1D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Om te borgen dat de </w:t>
      </w:r>
      <w:r w:rsidRPr="47DB0069" w:rsidR="5CE96F1D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Msnp</w:t>
      </w:r>
      <w:r w:rsidRPr="47DB0069" w:rsidR="5CE96F1D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en de </w:t>
      </w:r>
      <w:r w:rsidRPr="47DB0069" w:rsidR="5CE96F1D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Wsnp</w:t>
      </w:r>
      <w:r w:rsidRPr="47DB0069" w:rsidR="5CE96F1D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op elkaar aansluiten en elkaar aanvullen in plaats van</w:t>
      </w:r>
      <w:r w:rsidRPr="47DB0069" w:rsidR="4146FD37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elkaar</w:t>
      </w:r>
      <w:r w:rsidRPr="47DB0069" w:rsidR="5CE96F1D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</w:t>
      </w:r>
      <w:r w:rsidRPr="47DB0069" w:rsidR="7737BFE4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te </w:t>
      </w:r>
      <w:r w:rsidRPr="47DB0069" w:rsidR="5CE96F1D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verdringen, is het noodzakelijk</w:t>
      </w:r>
      <w:r w:rsidRPr="47DB0069" w:rsidR="24AB2050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</w:t>
      </w:r>
      <w:r w:rsidRPr="47DB0069" w:rsidR="37897939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dat de aflostermijn van de </w:t>
      </w:r>
      <w:r w:rsidRPr="47DB0069" w:rsidR="37897939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Msnp</w:t>
      </w:r>
      <w:r w:rsidRPr="47DB0069" w:rsidR="773143D7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ook</w:t>
      </w:r>
      <w:r w:rsidRPr="47DB0069" w:rsidR="37897939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</w:t>
      </w:r>
      <w:r w:rsidRPr="47DB0069" w:rsidR="0F4559A9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word</w:t>
      </w:r>
      <w:r w:rsidRPr="47DB0069" w:rsidR="4BB10B01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t</w:t>
      </w:r>
      <w:r w:rsidRPr="47DB0069" w:rsidR="0F4559A9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gewijzigd naar 18 maanden</w:t>
      </w:r>
      <w:r w:rsidRPr="47DB0069" w:rsidR="37897939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. </w:t>
      </w:r>
    </w:p>
    <w:p w:rsidR="6D7B6FD6" w:rsidP="47DB0069" w:rsidRDefault="6D7B6FD6" w14:paraId="663A7E0F" w14:textId="04ED7559">
      <w:pPr>
        <w:pStyle w:val="ListParagraph"/>
        <w:numPr>
          <w:ilvl w:val="0"/>
          <w:numId w:val="3"/>
        </w:numPr>
        <w:tabs>
          <w:tab w:val="left" w:leader="none" w:pos="720"/>
        </w:tabs>
        <w:spacing w:before="0" w:beforeAutospacing="off" w:after="16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</w:pPr>
      <w:r w:rsidRPr="47DB0069" w:rsidR="6D7B6FD6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Inwoners met </w:t>
      </w:r>
      <w:r w:rsidRPr="47DB0069" w:rsidR="2471E1A5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(</w:t>
      </w:r>
      <w:r w:rsidRPr="47DB0069" w:rsidR="6D7B6FD6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problematische</w:t>
      </w:r>
      <w:r w:rsidRPr="47DB0069" w:rsidR="6DCDE2CA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)</w:t>
      </w:r>
      <w:r w:rsidRPr="47DB0069" w:rsidR="6D7B6FD6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schulden zijn sneller van hun schulden af</w:t>
      </w:r>
      <w:r w:rsidRPr="47DB0069" w:rsidR="0AD6DD40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.</w:t>
      </w:r>
    </w:p>
    <w:p w:rsidR="3A978063" w:rsidP="47DB0069" w:rsidRDefault="3A978063" w14:paraId="5F225AF2" w14:textId="7BC0BABA">
      <w:pPr>
        <w:pStyle w:val="ListParagraph"/>
        <w:numPr>
          <w:ilvl w:val="0"/>
          <w:numId w:val="3"/>
        </w:numPr>
        <w:tabs>
          <w:tab w:val="left" w:leader="none" w:pos="720"/>
        </w:tabs>
        <w:bidi w:val="0"/>
        <w:spacing w:before="0" w:beforeAutospacing="off" w:after="16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/>
        </w:rPr>
      </w:pPr>
      <w:r w:rsidRPr="47DB0069" w:rsidR="3A978063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Door het wijzigen van de aflosperiode wordt de drempel om schuldhulpverlening te vragen verlaagd.</w:t>
      </w:r>
    </w:p>
    <w:p w:rsidR="31AEA56D" w:rsidP="47DB0069" w:rsidRDefault="31AEA56D" w14:paraId="4D55706A" w14:textId="79D7A47A">
      <w:pPr>
        <w:pStyle w:val="ListParagraph"/>
        <w:numPr>
          <w:ilvl w:val="0"/>
          <w:numId w:val="3"/>
        </w:numPr>
        <w:tabs>
          <w:tab w:val="left" w:leader="none" w:pos="720"/>
        </w:tabs>
        <w:bidi w:val="0"/>
        <w:spacing w:before="0" w:beforeAutospacing="off" w:after="16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/>
        </w:rPr>
      </w:pPr>
      <w:r w:rsidRPr="47DB0069" w:rsidR="31AEA56D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/>
        </w:rPr>
        <w:t>[..]</w:t>
      </w:r>
    </w:p>
    <w:p xmlns:wp14="http://schemas.microsoft.com/office/word/2010/wordml" w:rsidP="1C5A1EAF" w14:paraId="41497E53" wp14:textId="54C88247">
      <w:pPr>
        <w:pStyle w:val="Heading1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</w:pPr>
      <w:r w:rsidRPr="1C5A1EAF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Risico’s en kanttekeningen</w:t>
      </w:r>
    </w:p>
    <w:p w:rsidR="0A7E7D1B" w:rsidP="6D7470F2" w:rsidRDefault="0A7E7D1B" w14:paraId="4B35CB9D" w14:textId="5D93263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</w:pPr>
      <w:r w:rsidRPr="47DB0069" w:rsidR="0A7E7D1B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Het is nog </w:t>
      </w:r>
      <w:r w:rsidRPr="47DB0069" w:rsidR="01A3CD24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niet bekend of er een overgangsregeling</w:t>
      </w:r>
      <w:r w:rsidRPr="47DB0069" w:rsidR="02775911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naar verkorting van de aflostermijn </w:t>
      </w:r>
      <w:r w:rsidRPr="47DB0069" w:rsidR="39E21BF1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>komt</w:t>
      </w:r>
      <w:r w:rsidRPr="47DB0069" w:rsidR="5485A5DF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voor inwoners die </w:t>
      </w:r>
      <w:r w:rsidRPr="47DB0069" w:rsidR="33D81878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met een periode van 36 maanden </w:t>
      </w:r>
      <w:r w:rsidRPr="47DB0069" w:rsidR="5485A5DF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in een buitengerechtelijke schuldregeling zitten. </w:t>
      </w:r>
      <w:r w:rsidRPr="47DB0069" w:rsidR="39E21BF1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</w:t>
      </w:r>
    </w:p>
    <w:p xmlns:wp14="http://schemas.microsoft.com/office/word/2010/wordml" w:rsidP="47DB0069" w14:paraId="5CE9DE66" wp14:textId="537893DE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</w:pP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Nog niet alle betrokken </w:t>
      </w:r>
      <w:r w:rsidRPr="47DB0069" w:rsidR="0345E7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organisaties z</w:t>
      </w: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ullen op 1 juli hun </w:t>
      </w: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standaard</w:t>
      </w: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brieven</w:t>
      </w: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en processen</w:t>
      </w: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aangepast hebben. Voor de komende maanden tot 1 januari 2024 is daarom de afspraak: hulpverleners leggen met ingang van 1 juli aan hulpvragers uit dat hun aflostermijn 18 maanden is. </w:t>
      </w: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Met de </w:t>
      </w:r>
      <w:r w:rsidRPr="47DB0069" w:rsidR="278EBB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landelijke schuldeisers is afge</w:t>
      </w:r>
      <w:r w:rsidRPr="47DB0069" w:rsidR="278EBB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sproken</w:t>
      </w:r>
      <w:r w:rsidRPr="47DB0069" w:rsidR="358CB7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dat zij –op signaal van de hulpverlener – voor schuldregelingen die na 1 juli startten, de aflosperiode na 18 maanden zullen beëindigen. Dit is dus een tijdelijke afspraak, die het mogelijk maakt op 1 juli te kunnen starten met de gehalveerde aflosperiode. </w:t>
      </w:r>
      <w:r w:rsidRPr="47DB0069" w:rsidR="358CB7C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C5A1EAF" w14:paraId="60197E35" wp14:textId="4858905E">
      <w:pPr>
        <w:pStyle w:val="Heading1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</w:pPr>
      <w:r w:rsidRPr="47DB0069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Fin</w:t>
      </w:r>
      <w:r w:rsidRPr="47DB0069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anciën</w:t>
      </w:r>
      <w:r w:rsidRPr="47DB0069" w:rsidR="2D8EAD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/</w:t>
      </w:r>
      <w:r w:rsidRPr="47DB0069" w:rsidR="468F6B9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 xml:space="preserve">benodigde </w:t>
      </w:r>
      <w:r w:rsidRPr="47DB0069" w:rsidR="2D8EAD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capaciteit</w:t>
      </w:r>
    </w:p>
    <w:p xmlns:wp14="http://schemas.microsoft.com/office/word/2010/wordml" w:rsidP="47DB0069" w14:paraId="1081119D" wp14:textId="64A21F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highlight w:val="yellow"/>
          <w:lang w:val="nl-NL"/>
        </w:rPr>
      </w:pPr>
      <w:r w:rsidRPr="47DB0069" w:rsidR="08634A7B">
        <w:rPr>
          <w:rFonts w:ascii="Arial" w:hAnsi="Arial" w:eastAsia="Arial" w:cs="Arial"/>
          <w:noProof w:val="0"/>
          <w:highlight w:val="yellow"/>
          <w:lang w:val="nl-NL"/>
        </w:rPr>
        <w:t>[</w:t>
      </w:r>
      <w:r w:rsidRPr="47DB0069" w:rsidR="08634A7B">
        <w:rPr>
          <w:rFonts w:ascii="Arial" w:hAnsi="Arial" w:eastAsia="Arial" w:cs="Arial"/>
          <w:noProof w:val="0"/>
          <w:highlight w:val="yellow"/>
          <w:lang w:val="nl-NL"/>
        </w:rPr>
        <w:t>ntb</w:t>
      </w:r>
      <w:r w:rsidRPr="47DB0069" w:rsidR="08634A7B">
        <w:rPr>
          <w:rFonts w:ascii="Arial" w:hAnsi="Arial" w:eastAsia="Arial" w:cs="Arial"/>
          <w:noProof w:val="0"/>
          <w:highlight w:val="yellow"/>
          <w:lang w:val="nl-NL"/>
        </w:rPr>
        <w:t>]</w:t>
      </w:r>
    </w:p>
    <w:p xmlns:wp14="http://schemas.microsoft.com/office/word/2010/wordml" w:rsidP="1C5A1EAF" w14:paraId="27CA976F" wp14:textId="76EF606B">
      <w:pPr>
        <w:pStyle w:val="Heading1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</w:pPr>
      <w:r w:rsidRPr="1C5A1EAF" w:rsidR="09957DB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nl-NL"/>
        </w:rPr>
        <w:t>Integraal</w:t>
      </w:r>
    </w:p>
    <w:p xmlns:wp14="http://schemas.microsoft.com/office/word/2010/wordml" w:rsidP="1C5A1EAF" w14:paraId="25189C33" wp14:textId="2C255FEB">
      <w:pPr>
        <w:spacing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</w:pPr>
      <w:r w:rsidRPr="47DB0069" w:rsidR="09957DB8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Dit besluit is afgestemd met </w:t>
      </w:r>
      <w:r w:rsidRPr="47DB0069" w:rsidR="49BE6549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/>
        </w:rPr>
        <w:t>[</w:t>
      </w:r>
      <w:r w:rsidRPr="47DB0069" w:rsidR="09957DB8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/>
        </w:rPr>
        <w:t>naam afdeling</w:t>
      </w:r>
      <w:r w:rsidRPr="47DB0069" w:rsidR="6D63D709">
        <w:rPr>
          <w:rFonts w:ascii="Arial" w:hAnsi="Arial" w:eastAsia="Arial" w:cs="Arial"/>
          <w:noProof w:val="0"/>
          <w:color w:val="auto"/>
          <w:sz w:val="22"/>
          <w:szCs w:val="22"/>
          <w:highlight w:val="yellow"/>
          <w:lang w:val="nl-NL"/>
        </w:rPr>
        <w:t>]</w:t>
      </w:r>
      <w:r w:rsidRPr="47DB0069" w:rsidR="09957DB8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. </w:t>
      </w:r>
    </w:p>
    <w:p xmlns:wp14="http://schemas.microsoft.com/office/word/2010/wordml" w:rsidP="47DB0069" w14:paraId="6D0F52E0" wp14:textId="0F4E9AF2">
      <w:pPr>
        <w:pStyle w:val="Normal"/>
        <w:spacing w:line="276" w:lineRule="auto"/>
        <w:rPr>
          <w:rFonts w:ascii="Arial" w:hAnsi="Arial" w:eastAsia="Arial" w:cs="Arial"/>
          <w:noProof w:val="0"/>
          <w:sz w:val="22"/>
          <w:szCs w:val="22"/>
          <w:lang w:val="nl-NL"/>
        </w:rPr>
      </w:pPr>
      <w:r w:rsidRPr="47DB0069" w:rsidR="09957DB8">
        <w:rPr>
          <w:rFonts w:ascii="Arial" w:hAnsi="Arial" w:eastAsia="Arial" w:cs="Arial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1C5A1EAF" w14:paraId="6C5237C2" wp14:textId="73C96EEA">
      <w:pPr>
        <w:rPr>
          <w:rFonts w:ascii="Arial" w:hAnsi="Arial" w:eastAsia="Arial" w:cs="Arial"/>
          <w:noProof w:val="0"/>
          <w:sz w:val="22"/>
          <w:szCs w:val="22"/>
          <w:lang w:val="nl-NL"/>
        </w:rPr>
      </w:pPr>
      <w:r w:rsidRPr="1C5A1EAF" w:rsidR="09957DB8">
        <w:rPr>
          <w:rFonts w:ascii="Arial" w:hAnsi="Arial" w:eastAsia="Arial" w:cs="Arial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1C5A1EAF" w14:paraId="5C2C501D" wp14:textId="217E42ED">
      <w:pPr>
        <w:rPr>
          <w:rFonts w:ascii="Arial" w:hAnsi="Arial" w:eastAsia="Arial" w:cs="Arial"/>
          <w:noProof w:val="0"/>
          <w:sz w:val="22"/>
          <w:szCs w:val="22"/>
          <w:lang w:val="nl-NL"/>
        </w:rPr>
      </w:pPr>
    </w:p>
    <w:p xmlns:wp14="http://schemas.microsoft.com/office/word/2010/wordml" w:rsidP="1C5A1EAF" w14:paraId="7B5CAEB5" wp14:textId="0FA7526E">
      <w:pPr>
        <w:pStyle w:val="Normal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8a6f7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a5bab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00ff2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9bc941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4ff3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7ADFD3"/>
    <w:rsid w:val="01A3CD24"/>
    <w:rsid w:val="021BA297"/>
    <w:rsid w:val="02775911"/>
    <w:rsid w:val="02934B30"/>
    <w:rsid w:val="0345E77C"/>
    <w:rsid w:val="05212CFA"/>
    <w:rsid w:val="066569B1"/>
    <w:rsid w:val="0705CE1A"/>
    <w:rsid w:val="070EA7F9"/>
    <w:rsid w:val="07A1D7DD"/>
    <w:rsid w:val="07CBAE31"/>
    <w:rsid w:val="08634A7B"/>
    <w:rsid w:val="08878A1C"/>
    <w:rsid w:val="0908AE6A"/>
    <w:rsid w:val="09957DB8"/>
    <w:rsid w:val="0A7E7D1B"/>
    <w:rsid w:val="0AD6DD40"/>
    <w:rsid w:val="0B5722D9"/>
    <w:rsid w:val="0CF2F33A"/>
    <w:rsid w:val="0DDC39D3"/>
    <w:rsid w:val="0E82B872"/>
    <w:rsid w:val="0E8EC39B"/>
    <w:rsid w:val="0EBE3BE9"/>
    <w:rsid w:val="0F4559A9"/>
    <w:rsid w:val="0FC9E5F5"/>
    <w:rsid w:val="107CABAF"/>
    <w:rsid w:val="10AE4D7D"/>
    <w:rsid w:val="11A1F2EA"/>
    <w:rsid w:val="130C60F7"/>
    <w:rsid w:val="14430C10"/>
    <w:rsid w:val="157ADFD3"/>
    <w:rsid w:val="15A601EF"/>
    <w:rsid w:val="15EC7564"/>
    <w:rsid w:val="17D93EEE"/>
    <w:rsid w:val="187C3BFA"/>
    <w:rsid w:val="1AB1A160"/>
    <w:rsid w:val="1B12DB85"/>
    <w:rsid w:val="1BB3DCBC"/>
    <w:rsid w:val="1C25A9E1"/>
    <w:rsid w:val="1C5A1EAF"/>
    <w:rsid w:val="1CAA6BD3"/>
    <w:rsid w:val="1CE23096"/>
    <w:rsid w:val="1D6D412B"/>
    <w:rsid w:val="1D7A14DB"/>
    <w:rsid w:val="1F15E53C"/>
    <w:rsid w:val="1FB1D2B5"/>
    <w:rsid w:val="2031AFE2"/>
    <w:rsid w:val="20EEF7E5"/>
    <w:rsid w:val="2120A242"/>
    <w:rsid w:val="21CB4D50"/>
    <w:rsid w:val="224D85FE"/>
    <w:rsid w:val="22D04B1A"/>
    <w:rsid w:val="231792C1"/>
    <w:rsid w:val="23B7E675"/>
    <w:rsid w:val="2471E1A5"/>
    <w:rsid w:val="24AB2050"/>
    <w:rsid w:val="251038F3"/>
    <w:rsid w:val="25128EAA"/>
    <w:rsid w:val="2553B6D6"/>
    <w:rsid w:val="2656CB84"/>
    <w:rsid w:val="26AC0954"/>
    <w:rsid w:val="2736BFFA"/>
    <w:rsid w:val="278EBB63"/>
    <w:rsid w:val="2912CC6C"/>
    <w:rsid w:val="2968E68B"/>
    <w:rsid w:val="2A44F100"/>
    <w:rsid w:val="2B04B6EC"/>
    <w:rsid w:val="2B4C3D91"/>
    <w:rsid w:val="2BD814ED"/>
    <w:rsid w:val="2D5692E3"/>
    <w:rsid w:val="2D881F3E"/>
    <w:rsid w:val="2D8EADA6"/>
    <w:rsid w:val="316A13FE"/>
    <w:rsid w:val="31AEA56D"/>
    <w:rsid w:val="332A36E3"/>
    <w:rsid w:val="33D81878"/>
    <w:rsid w:val="35853503"/>
    <w:rsid w:val="358CB7C0"/>
    <w:rsid w:val="37897939"/>
    <w:rsid w:val="37A8A530"/>
    <w:rsid w:val="3928F0E0"/>
    <w:rsid w:val="3930DA5D"/>
    <w:rsid w:val="397C15F8"/>
    <w:rsid w:val="3986F7DB"/>
    <w:rsid w:val="39AD85E2"/>
    <w:rsid w:val="39AD85E2"/>
    <w:rsid w:val="39E21BF1"/>
    <w:rsid w:val="39F47085"/>
    <w:rsid w:val="3A978063"/>
    <w:rsid w:val="3B22C83C"/>
    <w:rsid w:val="3B2FB82C"/>
    <w:rsid w:val="3B9040E6"/>
    <w:rsid w:val="3C78D765"/>
    <w:rsid w:val="3CBE989D"/>
    <w:rsid w:val="3D6BDD7B"/>
    <w:rsid w:val="3D81141D"/>
    <w:rsid w:val="3E17E6B4"/>
    <w:rsid w:val="3E2B25E2"/>
    <w:rsid w:val="3E3D66EA"/>
    <w:rsid w:val="3E80F705"/>
    <w:rsid w:val="3FEB577C"/>
    <w:rsid w:val="40CCA1F4"/>
    <w:rsid w:val="4146FD37"/>
    <w:rsid w:val="41D55C86"/>
    <w:rsid w:val="423B5CE3"/>
    <w:rsid w:val="425C5809"/>
    <w:rsid w:val="427E5B94"/>
    <w:rsid w:val="435D56E0"/>
    <w:rsid w:val="44315471"/>
    <w:rsid w:val="4553F91D"/>
    <w:rsid w:val="468F6B9C"/>
    <w:rsid w:val="47333858"/>
    <w:rsid w:val="47479D5D"/>
    <w:rsid w:val="47C629A0"/>
    <w:rsid w:val="47DB0069"/>
    <w:rsid w:val="49BE6549"/>
    <w:rsid w:val="4A63C938"/>
    <w:rsid w:val="4A876D98"/>
    <w:rsid w:val="4BB10B01"/>
    <w:rsid w:val="4C5320B6"/>
    <w:rsid w:val="4D6538E8"/>
    <w:rsid w:val="4DA71C71"/>
    <w:rsid w:val="4E71D27D"/>
    <w:rsid w:val="4F9FAA7C"/>
    <w:rsid w:val="50F6AF1C"/>
    <w:rsid w:val="510C7D7A"/>
    <w:rsid w:val="510C7D7A"/>
    <w:rsid w:val="51547069"/>
    <w:rsid w:val="516167C9"/>
    <w:rsid w:val="52596E33"/>
    <w:rsid w:val="52A84DDB"/>
    <w:rsid w:val="53D8BD1A"/>
    <w:rsid w:val="54450A3E"/>
    <w:rsid w:val="5485A5DF"/>
    <w:rsid w:val="54E11401"/>
    <w:rsid w:val="551E57E1"/>
    <w:rsid w:val="55644EC3"/>
    <w:rsid w:val="5627E18C"/>
    <w:rsid w:val="570D14FE"/>
    <w:rsid w:val="5818B4C3"/>
    <w:rsid w:val="586FFEAF"/>
    <w:rsid w:val="58ACF886"/>
    <w:rsid w:val="5984B348"/>
    <w:rsid w:val="59AEF488"/>
    <w:rsid w:val="5BA1BEF7"/>
    <w:rsid w:val="5CE96F1D"/>
    <w:rsid w:val="5D576754"/>
    <w:rsid w:val="5EB1CC9B"/>
    <w:rsid w:val="5F5D0CB1"/>
    <w:rsid w:val="61BA45AE"/>
    <w:rsid w:val="62B090CD"/>
    <w:rsid w:val="6386DB7B"/>
    <w:rsid w:val="63EE8B71"/>
    <w:rsid w:val="6494AB9C"/>
    <w:rsid w:val="683ACCA1"/>
    <w:rsid w:val="69053911"/>
    <w:rsid w:val="6A374B22"/>
    <w:rsid w:val="6B287E46"/>
    <w:rsid w:val="6B47FF97"/>
    <w:rsid w:val="6BA5F6AA"/>
    <w:rsid w:val="6CF10ED9"/>
    <w:rsid w:val="6D63D709"/>
    <w:rsid w:val="6D7470F2"/>
    <w:rsid w:val="6D7B6FD6"/>
    <w:rsid w:val="6DA109CD"/>
    <w:rsid w:val="6DCDE2CA"/>
    <w:rsid w:val="6F5B5238"/>
    <w:rsid w:val="70F72299"/>
    <w:rsid w:val="72077EAD"/>
    <w:rsid w:val="732CEEBA"/>
    <w:rsid w:val="73472800"/>
    <w:rsid w:val="7532454E"/>
    <w:rsid w:val="75FC03A6"/>
    <w:rsid w:val="773143D7"/>
    <w:rsid w:val="7737BFE4"/>
    <w:rsid w:val="77C6B5D2"/>
    <w:rsid w:val="78C10C52"/>
    <w:rsid w:val="796095BD"/>
    <w:rsid w:val="7AE53DA2"/>
    <w:rsid w:val="7B2BC131"/>
    <w:rsid w:val="7C49BABB"/>
    <w:rsid w:val="7E2D19E8"/>
    <w:rsid w:val="7EC4B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DFD3"/>
  <w15:chartTrackingRefBased/>
  <w15:docId w15:val="{964D8471-8190-4308-89BB-3416BC06D2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09291A5E-806C-455F-A17E-24DADB78E373}">
    <t:Anchor>
      <t:Comment id="206553549"/>
    </t:Anchor>
    <t:History>
      <t:Event id="{D7863100-4F33-4ABB-B7B5-97914E7C71EF}" time="2023-04-20T09:39:07.978Z">
        <t:Attribution userId="S::saskia.peeman@vng.nl::5e08e573-ccd0-415d-a214-46bce170d40c" userProvider="AD" userName="Saskia Peeman"/>
        <t:Anchor>
          <t:Comment id="206553549"/>
        </t:Anchor>
        <t:Create/>
      </t:Event>
      <t:Event id="{07C51B0A-2D05-4801-A876-4356E8568A59}" time="2023-04-20T09:39:07.978Z">
        <t:Attribution userId="S::saskia.peeman@vng.nl::5e08e573-ccd0-415d-a214-46bce170d40c" userProvider="AD" userName="Saskia Peeman"/>
        <t:Anchor>
          <t:Comment id="206553549"/>
        </t:Anchor>
        <t:Assign userId="S::Marielle.Fleuren@vng.nl::ff73cfc2-cd77-4d87-91c4-e578714dd061" userProvider="AD" userName="Mariëlle Fleuren"/>
      </t:Event>
      <t:Event id="{FF230B89-1A5D-40BB-BF37-10B9F438B5E4}" time="2023-04-20T09:39:07.978Z">
        <t:Attribution userId="S::saskia.peeman@vng.nl::5e08e573-ccd0-415d-a214-46bce170d40c" userProvider="AD" userName="Saskia Peeman"/>
        <t:Anchor>
          <t:Comment id="206553549"/>
        </t:Anchor>
        <t:SetTitle title="@Mariëlle Fleuren Zijn er financiële effecten te verwachten?"/>
      </t:Event>
      <t:Event id="{9E4C32E9-5DCA-497F-880A-055F1A40B1FA}" time="2023-04-21T12:20:08.536Z">
        <t:Attribution userId="S::saskia.peeman@vng.nl::5e08e573-ccd0-415d-a214-46bce170d40c" userProvider="AD" userName="Saskia Peeman"/>
        <t:Progress percentComplete="100"/>
      </t:Event>
    </t:History>
  </t:Task>
  <t:Task id="{6AD7BAE0-8194-487E-90EE-EABF4BDB7FCB}">
    <t:Anchor>
      <t:Comment id="2108897744"/>
    </t:Anchor>
    <t:History>
      <t:Event id="{3E39FBB0-BA12-43D3-90EE-BBD03DA86998}" time="2023-04-21T10:45:56.616Z">
        <t:Attribution userId="S::saskia.peeman@vng.nl::5e08e573-ccd0-415d-a214-46bce170d40c" userProvider="AD" userName="Saskia Peeman"/>
        <t:Anchor>
          <t:Comment id="2108897744"/>
        </t:Anchor>
        <t:Create/>
      </t:Event>
      <t:Event id="{18C478E4-53D6-4D00-A0C3-79FFD96BE95C}" time="2023-04-21T10:45:56.616Z">
        <t:Attribution userId="S::saskia.peeman@vng.nl::5e08e573-ccd0-415d-a214-46bce170d40c" userProvider="AD" userName="Saskia Peeman"/>
        <t:Anchor>
          <t:Comment id="2108897744"/>
        </t:Anchor>
        <t:Assign userId="S::Marielle.Fleuren@vng.nl::ff73cfc2-cd77-4d87-91c4-e578714dd061" userProvider="AD" userName="Mariëlle Fleuren"/>
      </t:Event>
      <t:Event id="{2882A817-1E71-4654-96F1-91A1297273F7}" time="2023-04-21T10:45:56.616Z">
        <t:Attribution userId="S::saskia.peeman@vng.nl::5e08e573-ccd0-415d-a214-46bce170d40c" userProvider="AD" userName="Saskia Peeman"/>
        <t:Anchor>
          <t:Comment id="2108897744"/>
        </t:Anchor>
        <t:SetTitle title="@Mariëlle Fleuren Instellingen = schuldeisers? Hebben we een ander woord voor instellngen?"/>
      </t:Event>
      <t:Event id="{F12959D9-242E-428C-928A-C079AA565F90}" time="2023-04-21T12:26:14.973Z">
        <t:Attribution userId="S::saskia.peeman@vng.nl::5e08e573-ccd0-415d-a214-46bce170d40c" userProvider="AD" userName="Saskia Peeman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85971f1b7ae3435d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021c235d73284fd3" /><Relationship Type="http://schemas.microsoft.com/office/2011/relationships/commentsExtended" Target="commentsExtended.xml" Id="Rebaa76352e5f4298" /><Relationship Type="http://schemas.microsoft.com/office/2016/09/relationships/commentsIds" Target="commentsIds.xml" Id="R18e75d1fc85a4b77" /><Relationship Type="http://schemas.microsoft.com/office/2019/05/relationships/documenttasks" Target="tasks.xml" Id="R8936463267aa41bb" /><Relationship Type="http://schemas.openxmlformats.org/officeDocument/2006/relationships/hyperlink" Target="https://www.tweedekamer.nl/kamerstukken/wetsvoorstellen/detail?qry=wetsvoorstel%3A35915&amp;cfg=wetsvoorsteldetails" TargetMode="External" Id="R552220a902654e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A196229D7B409DB189F67281DF26" ma:contentTypeVersion="19" ma:contentTypeDescription="Een nieuw document maken." ma:contentTypeScope="" ma:versionID="e2f63a5006dc5ebaafdb151b752c9a8f">
  <xsd:schema xmlns:xsd="http://www.w3.org/2001/XMLSchema" xmlns:xs="http://www.w3.org/2001/XMLSchema" xmlns:p="http://schemas.microsoft.com/office/2006/metadata/properties" xmlns:ns2="4c78aff5-1915-467e-8926-fc156a35ca64" xmlns:ns3="1bd2c2b8-c9e4-4548-b6a5-c5aec7c00b2c" targetNamespace="http://schemas.microsoft.com/office/2006/metadata/properties" ma:root="true" ma:fieldsID="2057bfecd717f2686436fcefd9d2872f" ns2:_="" ns3:_="">
    <xsd:import namespace="4c78aff5-1915-467e-8926-fc156a35ca64"/>
    <xsd:import namespace="1bd2c2b8-c9e4-4548-b6a5-c5aec7c0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aff5-1915-467e-8926-fc156a35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c2b8-c9e4-4548-b6a5-c5aec7c0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7e37cb-f091-4bd3-80fb-623362b6f384}" ma:internalName="TaxCatchAll" ma:showField="CatchAllData" ma:web="1bd2c2b8-c9e4-4548-b6a5-c5aec7c0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8aff5-1915-467e-8926-fc156a35ca64">
      <Terms xmlns="http://schemas.microsoft.com/office/infopath/2007/PartnerControls"/>
    </lcf76f155ced4ddcb4097134ff3c332f>
    <TaxCatchAll xmlns="1bd2c2b8-c9e4-4548-b6a5-c5aec7c00b2c" xsi:nil="true"/>
  </documentManagement>
</p:properties>
</file>

<file path=customXml/itemProps1.xml><?xml version="1.0" encoding="utf-8"?>
<ds:datastoreItem xmlns:ds="http://schemas.openxmlformats.org/officeDocument/2006/customXml" ds:itemID="{9A2A994D-8BCD-45A2-82DE-CE5AE55503D2}"/>
</file>

<file path=customXml/itemProps2.xml><?xml version="1.0" encoding="utf-8"?>
<ds:datastoreItem xmlns:ds="http://schemas.openxmlformats.org/officeDocument/2006/customXml" ds:itemID="{68D9E278-4D7A-445E-B45E-0648ADFD3A8C}"/>
</file>

<file path=customXml/itemProps3.xml><?xml version="1.0" encoding="utf-8"?>
<ds:datastoreItem xmlns:ds="http://schemas.openxmlformats.org/officeDocument/2006/customXml" ds:itemID="{81A2146D-BDA5-4A2D-A36B-AB741F8332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Saskia Peeman</dc:creator>
  <keywords/>
  <dc:description/>
  <lastModifiedBy>Mariëlle Fleuren</lastModifiedBy>
  <dcterms:created xsi:type="dcterms:W3CDTF">2023-04-20T08:40:21.0000000Z</dcterms:created>
  <dcterms:modified xsi:type="dcterms:W3CDTF">2023-04-21T13:12:08.3573843Z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0x010100EA32A196229D7B409DB189F67281DF26</vt:lpwstr>
  </property>
  <property fmtid="{D5CDD505-2E9C-101B-9397-08002B2CF9AE}" pid="3" name="MediaServiceImageTags">
    <vt:lpwstr/>
  </property>
</Properties>
</file>