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B6079" w14:textId="6D0012FA" w:rsidR="00A81989" w:rsidRPr="00444712" w:rsidRDefault="005157F0" w:rsidP="000F6E99">
      <w:pPr>
        <w:spacing w:line="240" w:lineRule="exact"/>
        <w:rPr>
          <w:color w:val="auto"/>
        </w:rPr>
      </w:pPr>
      <w:r w:rsidRPr="00444712">
        <w:rPr>
          <w:color w:val="auto"/>
        </w:rPr>
        <w:t xml:space="preserve">Tijdens de afgelopen </w:t>
      </w:r>
      <w:r w:rsidR="00196880">
        <w:rPr>
          <w:color w:val="auto"/>
        </w:rPr>
        <w:t xml:space="preserve">begrotingsbehandeling van Binnenlandse Zaken en Koninkrijksrelaties </w:t>
      </w:r>
      <w:r w:rsidR="00A81989" w:rsidRPr="00444712">
        <w:rPr>
          <w:color w:val="auto"/>
        </w:rPr>
        <w:t xml:space="preserve">heb ik u toegezegd </w:t>
      </w:r>
      <w:r w:rsidRPr="00444712">
        <w:rPr>
          <w:color w:val="auto"/>
        </w:rPr>
        <w:t>om</w:t>
      </w:r>
      <w:r w:rsidR="00A81989" w:rsidRPr="00444712">
        <w:rPr>
          <w:color w:val="auto"/>
        </w:rPr>
        <w:t xml:space="preserve"> samen met de Verenging van Nederlandse Gemeenten</w:t>
      </w:r>
      <w:r w:rsidRPr="00444712">
        <w:rPr>
          <w:color w:val="auto"/>
        </w:rPr>
        <w:t xml:space="preserve"> </w:t>
      </w:r>
      <w:r w:rsidR="00A81989" w:rsidRPr="00444712">
        <w:rPr>
          <w:color w:val="auto"/>
        </w:rPr>
        <w:t>te onderzoeken welke aanpassingen aan de trap-op, trap-af</w:t>
      </w:r>
      <w:r w:rsidR="0073705C">
        <w:rPr>
          <w:color w:val="auto"/>
        </w:rPr>
        <w:t xml:space="preserve"> </w:t>
      </w:r>
      <w:r w:rsidR="00A81989" w:rsidRPr="00444712">
        <w:rPr>
          <w:color w:val="auto"/>
        </w:rPr>
        <w:t xml:space="preserve">systematiek kunnen worden gedaan </w:t>
      </w:r>
      <w:r w:rsidRPr="00444712">
        <w:rPr>
          <w:color w:val="auto"/>
        </w:rPr>
        <w:t>om</w:t>
      </w:r>
      <w:r w:rsidR="00A81989" w:rsidRPr="00444712">
        <w:rPr>
          <w:color w:val="auto"/>
        </w:rPr>
        <w:t xml:space="preserve"> de schommelingen in het gemeentefonds te voorkomen of </w:t>
      </w:r>
      <w:r w:rsidR="00E5348E" w:rsidRPr="00444712">
        <w:rPr>
          <w:color w:val="auto"/>
        </w:rPr>
        <w:t xml:space="preserve">te </w:t>
      </w:r>
      <w:r w:rsidR="00697EA3" w:rsidRPr="00444712">
        <w:rPr>
          <w:color w:val="auto"/>
        </w:rPr>
        <w:t>dempen</w:t>
      </w:r>
      <w:r w:rsidR="00C227C4" w:rsidRPr="00444712">
        <w:rPr>
          <w:color w:val="auto"/>
        </w:rPr>
        <w:t>.</w:t>
      </w:r>
    </w:p>
    <w:p w14:paraId="11A10396" w14:textId="77777777" w:rsidR="005157F0" w:rsidRPr="00444712" w:rsidRDefault="005157F0" w:rsidP="000F6E99">
      <w:pPr>
        <w:spacing w:line="240" w:lineRule="exact"/>
        <w:rPr>
          <w:color w:val="auto"/>
        </w:rPr>
      </w:pPr>
    </w:p>
    <w:p w14:paraId="69134E1B" w14:textId="77777777" w:rsidR="005157F0" w:rsidRPr="00444712" w:rsidRDefault="005157F0" w:rsidP="000F6E99">
      <w:pPr>
        <w:pStyle w:val="Geenafstand"/>
        <w:spacing w:line="240" w:lineRule="exact"/>
        <w:rPr>
          <w:color w:val="auto"/>
        </w:rPr>
      </w:pPr>
      <w:r w:rsidRPr="00444712">
        <w:rPr>
          <w:color w:val="auto"/>
        </w:rPr>
        <w:t xml:space="preserve">Het kabinet is zich ervan bewust dat </w:t>
      </w:r>
      <w:r w:rsidR="00CF3D57" w:rsidRPr="00444712">
        <w:rPr>
          <w:color w:val="auto"/>
        </w:rPr>
        <w:t xml:space="preserve">gemeenten </w:t>
      </w:r>
      <w:r w:rsidRPr="00444712">
        <w:rPr>
          <w:color w:val="auto"/>
        </w:rPr>
        <w:t>hard we</w:t>
      </w:r>
      <w:r w:rsidR="00CF3D57" w:rsidRPr="00444712">
        <w:rPr>
          <w:color w:val="auto"/>
        </w:rPr>
        <w:t>r</w:t>
      </w:r>
      <w:r w:rsidRPr="00444712">
        <w:rPr>
          <w:color w:val="auto"/>
        </w:rPr>
        <w:t>ken aan de waarborging van de kwaliteit van het lokaal bestuur en dat daarbij de beheersing van kosten een grote rol speelt. Gemeenten hebben er in een korte tijd een groot aantal vera</w:t>
      </w:r>
      <w:r w:rsidR="00CF3D57" w:rsidRPr="00444712">
        <w:rPr>
          <w:color w:val="auto"/>
        </w:rPr>
        <w:t xml:space="preserve">ntwoordelijkheden bij gekregen. </w:t>
      </w:r>
      <w:r w:rsidRPr="00444712">
        <w:rPr>
          <w:color w:val="auto"/>
        </w:rPr>
        <w:t>Erkenning is er daarom voor de grote voortvarendheid waarmee de gemeenten deze nieuwe taken zowel vanuit financieel als vanuit inhoudelijk oogpunt hebben opgepakt.</w:t>
      </w:r>
    </w:p>
    <w:p w14:paraId="24A85FFD" w14:textId="77777777" w:rsidR="00E5348E" w:rsidRPr="00444712" w:rsidRDefault="00E5348E" w:rsidP="000F6E99">
      <w:pPr>
        <w:pStyle w:val="Geenafstand"/>
        <w:spacing w:line="240" w:lineRule="exact"/>
        <w:rPr>
          <w:color w:val="auto"/>
        </w:rPr>
      </w:pPr>
    </w:p>
    <w:p w14:paraId="6A774240" w14:textId="326DF8A0" w:rsidR="00E5348E" w:rsidRPr="00444712" w:rsidRDefault="00E5348E" w:rsidP="000F6E99">
      <w:pPr>
        <w:pStyle w:val="Geenafstand"/>
        <w:spacing w:line="240" w:lineRule="exact"/>
        <w:rPr>
          <w:color w:val="auto"/>
        </w:rPr>
      </w:pPr>
      <w:r w:rsidRPr="00444712">
        <w:rPr>
          <w:color w:val="auto"/>
        </w:rPr>
        <w:t>Het kabinet ziet dat het bij veel gemeenten op verschillende manieren knelt en is actief in gesprek met gemeenten om te bezien hoe deze problematiek kan worden opgelost. Het kabinet vindt het belangrijk dat gemeenten goed uitgerust zijn om hun taken uit te voeren en spant zich daarom graag in om deze problematiek te beperken. In deze brief wil het kabinet specifiek reageren op de schommelingen in het accres</w:t>
      </w:r>
      <w:r w:rsidR="00C734ED" w:rsidRPr="00444712">
        <w:rPr>
          <w:color w:val="auto"/>
        </w:rPr>
        <w:t>, ofwel de indexering van de Rijksbijdrage aan het gemeentefonds</w:t>
      </w:r>
      <w:r w:rsidR="00DB0A19" w:rsidRPr="00444712">
        <w:rPr>
          <w:color w:val="auto"/>
        </w:rPr>
        <w:t>.</w:t>
      </w:r>
    </w:p>
    <w:p w14:paraId="7C358D2E" w14:textId="77777777" w:rsidR="005157F0" w:rsidRPr="00444712" w:rsidRDefault="005157F0" w:rsidP="000F6E99">
      <w:pPr>
        <w:spacing w:line="240" w:lineRule="exact"/>
        <w:rPr>
          <w:color w:val="auto"/>
        </w:rPr>
      </w:pPr>
    </w:p>
    <w:p w14:paraId="2D76082F" w14:textId="77777777" w:rsidR="005157F0" w:rsidRPr="00444712" w:rsidRDefault="005157F0" w:rsidP="000F6E99">
      <w:pPr>
        <w:spacing w:line="240" w:lineRule="exact"/>
        <w:rPr>
          <w:b/>
          <w:color w:val="auto"/>
        </w:rPr>
      </w:pPr>
      <w:r w:rsidRPr="00444712">
        <w:rPr>
          <w:b/>
          <w:color w:val="auto"/>
        </w:rPr>
        <w:t>Aanleiding</w:t>
      </w:r>
    </w:p>
    <w:p w14:paraId="2424D143" w14:textId="7842A05E" w:rsidR="00C734ED" w:rsidRPr="00444712" w:rsidRDefault="00126AC0" w:rsidP="000F6E99">
      <w:pPr>
        <w:spacing w:line="240" w:lineRule="exact"/>
        <w:rPr>
          <w:rFonts w:eastAsia="Calibri" w:cs="Arial"/>
          <w:iCs/>
          <w:color w:val="auto"/>
          <w:lang w:eastAsia="en-US"/>
        </w:rPr>
      </w:pPr>
      <w:r w:rsidRPr="00444712">
        <w:rPr>
          <w:rFonts w:eastAsia="Calibri" w:cs="Arial"/>
          <w:iCs/>
          <w:color w:val="auto"/>
          <w:lang w:eastAsia="en-US"/>
        </w:rPr>
        <w:t xml:space="preserve">Voor de gemeenten is het vertrekpunt voor de collegeakkoorden de accresraming uit de Startnota van het kabinet Rutte-III. De accresramingen in opeenvolgende gemeentefondscirculaires lieten tot en met de </w:t>
      </w:r>
      <w:r w:rsidR="00C734ED" w:rsidRPr="00444712">
        <w:rPr>
          <w:rFonts w:eastAsia="Calibri" w:cs="Arial"/>
          <w:iCs/>
          <w:color w:val="auto"/>
          <w:lang w:eastAsia="en-US"/>
        </w:rPr>
        <w:t>V</w:t>
      </w:r>
      <w:r w:rsidR="00CF3D57" w:rsidRPr="00444712">
        <w:rPr>
          <w:rFonts w:eastAsia="Calibri" w:cs="Arial"/>
          <w:iCs/>
          <w:color w:val="auto"/>
          <w:lang w:eastAsia="en-US"/>
        </w:rPr>
        <w:t xml:space="preserve">oorjaarnota </w:t>
      </w:r>
      <w:r w:rsidRPr="00444712">
        <w:rPr>
          <w:rFonts w:eastAsia="Calibri" w:cs="Arial"/>
          <w:iCs/>
          <w:color w:val="auto"/>
          <w:lang w:eastAsia="en-US"/>
        </w:rPr>
        <w:t>2019 een dalend accres zien</w:t>
      </w:r>
      <w:r w:rsidR="00C734ED" w:rsidRPr="00444712">
        <w:rPr>
          <w:rFonts w:eastAsia="Calibri" w:cs="Arial"/>
          <w:iCs/>
          <w:color w:val="auto"/>
          <w:lang w:eastAsia="en-US"/>
        </w:rPr>
        <w:t xml:space="preserve"> voor alle jaren</w:t>
      </w:r>
      <w:r w:rsidR="005157F0" w:rsidRPr="00444712">
        <w:rPr>
          <w:rFonts w:eastAsia="Calibri" w:cs="Arial"/>
          <w:iCs/>
          <w:color w:val="auto"/>
          <w:lang w:eastAsia="en-US"/>
        </w:rPr>
        <w:t xml:space="preserve">. In de </w:t>
      </w:r>
      <w:r w:rsidR="00C734ED" w:rsidRPr="00444712">
        <w:rPr>
          <w:rFonts w:eastAsia="Calibri" w:cs="Arial"/>
          <w:iCs/>
          <w:color w:val="auto"/>
          <w:lang w:eastAsia="en-US"/>
        </w:rPr>
        <w:t>M</w:t>
      </w:r>
      <w:r w:rsidR="00CF3D57" w:rsidRPr="00444712">
        <w:rPr>
          <w:rFonts w:eastAsia="Calibri" w:cs="Arial"/>
          <w:iCs/>
          <w:color w:val="auto"/>
          <w:lang w:eastAsia="en-US"/>
        </w:rPr>
        <w:t xml:space="preserve">iljoenennota </w:t>
      </w:r>
      <w:r w:rsidR="005157F0" w:rsidRPr="00444712">
        <w:rPr>
          <w:rFonts w:eastAsia="Calibri" w:cs="Arial"/>
          <w:iCs/>
          <w:color w:val="auto"/>
          <w:lang w:eastAsia="en-US"/>
        </w:rPr>
        <w:t>20</w:t>
      </w:r>
      <w:r w:rsidR="00C734ED" w:rsidRPr="00444712">
        <w:rPr>
          <w:rFonts w:eastAsia="Calibri" w:cs="Arial"/>
          <w:iCs/>
          <w:color w:val="auto"/>
          <w:lang w:eastAsia="en-US"/>
        </w:rPr>
        <w:t>20</w:t>
      </w:r>
      <w:r w:rsidR="005157F0" w:rsidRPr="00444712">
        <w:rPr>
          <w:rFonts w:eastAsia="Calibri" w:cs="Arial"/>
          <w:iCs/>
          <w:color w:val="auto"/>
          <w:lang w:eastAsia="en-US"/>
        </w:rPr>
        <w:t xml:space="preserve"> daalde het </w:t>
      </w:r>
      <w:r w:rsidR="00C734ED" w:rsidRPr="00444712">
        <w:rPr>
          <w:rFonts w:eastAsia="Calibri" w:cs="Arial"/>
          <w:iCs/>
          <w:color w:val="auto"/>
          <w:lang w:eastAsia="en-US"/>
        </w:rPr>
        <w:t xml:space="preserve">geraamde </w:t>
      </w:r>
      <w:r w:rsidR="005157F0" w:rsidRPr="00444712">
        <w:rPr>
          <w:rFonts w:eastAsia="Calibri" w:cs="Arial"/>
          <w:iCs/>
          <w:color w:val="auto"/>
          <w:lang w:eastAsia="en-US"/>
        </w:rPr>
        <w:t xml:space="preserve">accres </w:t>
      </w:r>
      <w:r w:rsidR="00C734ED" w:rsidRPr="00444712">
        <w:rPr>
          <w:rFonts w:eastAsia="Calibri" w:cs="Arial"/>
          <w:iCs/>
          <w:color w:val="auto"/>
          <w:lang w:eastAsia="en-US"/>
        </w:rPr>
        <w:t xml:space="preserve">voor </w:t>
      </w:r>
      <w:r w:rsidR="005157F0" w:rsidRPr="00444712">
        <w:rPr>
          <w:rFonts w:eastAsia="Calibri" w:cs="Arial"/>
          <w:iCs/>
          <w:color w:val="auto"/>
          <w:lang w:eastAsia="en-US"/>
        </w:rPr>
        <w:t>2019</w:t>
      </w:r>
      <w:r w:rsidR="00C734ED" w:rsidRPr="00444712">
        <w:rPr>
          <w:rFonts w:eastAsia="Calibri" w:cs="Arial"/>
          <w:iCs/>
          <w:color w:val="auto"/>
          <w:lang w:eastAsia="en-US"/>
        </w:rPr>
        <w:t xml:space="preserve"> vergeleken met het voorjaar, terwijl de raming voor de latere jaren toenam</w:t>
      </w:r>
      <w:r w:rsidR="00003A63" w:rsidRPr="00444712">
        <w:rPr>
          <w:rFonts w:eastAsia="Calibri" w:cs="Arial"/>
          <w:iCs/>
          <w:color w:val="auto"/>
          <w:lang w:eastAsia="en-US"/>
        </w:rPr>
        <w:t xml:space="preserve"> (</w:t>
      </w:r>
      <w:r w:rsidR="00EC51E0">
        <w:rPr>
          <w:rFonts w:eastAsia="Calibri" w:cs="Arial"/>
          <w:iCs/>
          <w:color w:val="auto"/>
          <w:lang w:eastAsia="en-US"/>
        </w:rPr>
        <w:t xml:space="preserve">zie ook </w:t>
      </w:r>
      <w:r w:rsidR="00003A63" w:rsidRPr="00444712">
        <w:rPr>
          <w:rFonts w:eastAsia="Calibri" w:cs="Arial"/>
          <w:iCs/>
          <w:color w:val="auto"/>
          <w:lang w:eastAsia="en-US"/>
        </w:rPr>
        <w:t>bijlage 1).</w:t>
      </w:r>
      <w:r w:rsidR="002C11CB" w:rsidRPr="00444712">
        <w:rPr>
          <w:rFonts w:eastAsia="Calibri" w:cs="Arial"/>
          <w:iCs/>
          <w:color w:val="auto"/>
          <w:lang w:eastAsia="en-US"/>
        </w:rPr>
        <w:t xml:space="preserve"> </w:t>
      </w:r>
    </w:p>
    <w:p w14:paraId="337CB72E" w14:textId="77777777" w:rsidR="00D6422F" w:rsidRPr="00444712" w:rsidRDefault="00D6422F" w:rsidP="000F6E99">
      <w:pPr>
        <w:spacing w:line="240" w:lineRule="exact"/>
        <w:rPr>
          <w:rFonts w:eastAsia="Calibri" w:cs="Arial"/>
          <w:iCs/>
          <w:color w:val="auto"/>
          <w:lang w:eastAsia="en-US"/>
        </w:rPr>
      </w:pPr>
    </w:p>
    <w:p w14:paraId="672437EE" w14:textId="5DFF9C04" w:rsidR="00C734ED" w:rsidRPr="00444712" w:rsidRDefault="00D6422F" w:rsidP="000F6E99">
      <w:pPr>
        <w:spacing w:line="240" w:lineRule="exact"/>
        <w:rPr>
          <w:rFonts w:eastAsia="Calibri" w:cs="Arial"/>
          <w:iCs/>
          <w:color w:val="auto"/>
          <w:lang w:eastAsia="en-US"/>
        </w:rPr>
      </w:pPr>
      <w:r w:rsidRPr="00444712">
        <w:rPr>
          <w:rFonts w:eastAsia="Calibri" w:cs="Arial"/>
          <w:iCs/>
          <w:color w:val="auto"/>
          <w:lang w:eastAsia="en-US"/>
        </w:rPr>
        <w:t xml:space="preserve">Het dalende accres heeft geresulteerd in een aangepast begrotingsproces bij gemeenten. Bij een lager accres dan eerder in de gemeentebegroting geraamd zijn tijdens het rekeningjaar ingrepen in de begroting nodig voor evenwicht van de gemeentefinanciën. Een dalend accres heeft daardoor bij een aantal gemeentebesturen onrust veroorzaakt. Daarop hebben gemeenten, al dan niet gezamenlijk, een brief aan de Tweede Kamer, het kabinet en de Verenging van </w:t>
      </w:r>
      <w:r w:rsidRPr="00444712">
        <w:rPr>
          <w:rFonts w:eastAsia="Calibri" w:cs="Arial"/>
          <w:iCs/>
          <w:color w:val="auto"/>
          <w:lang w:eastAsia="en-US"/>
        </w:rPr>
        <w:lastRenderedPageBreak/>
        <w:t xml:space="preserve">Nederlandse Gemeenten gestuurd met de oproep de trap-op, trap-af van het gemeentefonds te herzien. </w:t>
      </w:r>
    </w:p>
    <w:p w14:paraId="232CCAB6" w14:textId="77777777" w:rsidR="00DB55FE" w:rsidRPr="00444712" w:rsidRDefault="00DB55FE" w:rsidP="000F6E99">
      <w:pPr>
        <w:spacing w:line="240" w:lineRule="exact"/>
        <w:rPr>
          <w:rFonts w:eastAsia="Calibri" w:cs="Arial"/>
          <w:iCs/>
          <w:color w:val="auto"/>
          <w:lang w:eastAsia="en-US"/>
        </w:rPr>
      </w:pPr>
    </w:p>
    <w:p w14:paraId="73828B23" w14:textId="3410B3E2" w:rsidR="00D6422F" w:rsidRPr="00444712" w:rsidRDefault="00D6422F" w:rsidP="000F6E99">
      <w:pPr>
        <w:spacing w:line="240" w:lineRule="exact"/>
        <w:rPr>
          <w:rFonts w:eastAsia="Calibri" w:cs="Arial"/>
          <w:iCs/>
          <w:color w:val="auto"/>
          <w:lang w:eastAsia="en-US"/>
        </w:rPr>
      </w:pPr>
      <w:r w:rsidRPr="00444712">
        <w:rPr>
          <w:rFonts w:eastAsia="Calibri" w:cs="Arial"/>
          <w:iCs/>
          <w:color w:val="auto"/>
          <w:lang w:eastAsia="en-US"/>
        </w:rPr>
        <w:t xml:space="preserve">Ook voor het kabinet vormen de standen bij de Startnota het vertrekpunt. Het kabinet wijst </w:t>
      </w:r>
      <w:r w:rsidR="00A0740A" w:rsidRPr="00444712">
        <w:rPr>
          <w:rFonts w:eastAsia="Calibri" w:cs="Arial"/>
          <w:iCs/>
          <w:color w:val="auto"/>
          <w:lang w:eastAsia="en-US"/>
        </w:rPr>
        <w:t xml:space="preserve">er </w:t>
      </w:r>
      <w:r w:rsidRPr="00444712">
        <w:rPr>
          <w:rFonts w:eastAsia="Calibri" w:cs="Arial"/>
          <w:iCs/>
          <w:color w:val="auto"/>
          <w:lang w:eastAsia="en-US"/>
        </w:rPr>
        <w:t>hierbij op dat er meer middelen aan het gemeentefonds zijn toegevoegd</w:t>
      </w:r>
      <w:r w:rsidR="00A0740A" w:rsidRPr="00444712">
        <w:rPr>
          <w:rFonts w:eastAsia="Calibri" w:cs="Arial"/>
          <w:iCs/>
          <w:color w:val="auto"/>
          <w:lang w:eastAsia="en-US"/>
        </w:rPr>
        <w:t xml:space="preserve">. Ook dient </w:t>
      </w:r>
      <w:r w:rsidRPr="00444712">
        <w:rPr>
          <w:rFonts w:eastAsia="Calibri" w:cs="Arial"/>
          <w:iCs/>
          <w:color w:val="auto"/>
          <w:lang w:eastAsia="en-US"/>
        </w:rPr>
        <w:t xml:space="preserve">de ontwikkeling in het accres in meerjarig perspectief te </w:t>
      </w:r>
      <w:r w:rsidR="00A0740A" w:rsidRPr="00444712">
        <w:rPr>
          <w:rFonts w:eastAsia="Calibri" w:cs="Arial"/>
          <w:iCs/>
          <w:color w:val="auto"/>
          <w:lang w:eastAsia="en-US"/>
        </w:rPr>
        <w:t>worden ge</w:t>
      </w:r>
      <w:r w:rsidRPr="00444712">
        <w:rPr>
          <w:rFonts w:eastAsia="Calibri" w:cs="Arial"/>
          <w:iCs/>
          <w:color w:val="auto"/>
          <w:lang w:eastAsia="en-US"/>
        </w:rPr>
        <w:t>zien. Tegelijkertijd erkent het kabinet dat een negatieve bijstelling van deze oploop tot lastige aanpassingen in he</w:t>
      </w:r>
      <w:r w:rsidR="00C85B9A" w:rsidRPr="00444712">
        <w:rPr>
          <w:rFonts w:eastAsia="Calibri" w:cs="Arial"/>
          <w:iCs/>
          <w:color w:val="auto"/>
          <w:lang w:eastAsia="en-US"/>
        </w:rPr>
        <w:t>t begrotingsproces bij gemeenten</w:t>
      </w:r>
      <w:r w:rsidRPr="00444712">
        <w:rPr>
          <w:rFonts w:eastAsia="Calibri" w:cs="Arial"/>
          <w:iCs/>
          <w:color w:val="auto"/>
          <w:lang w:eastAsia="en-US"/>
        </w:rPr>
        <w:t xml:space="preserve"> kan leiden.</w:t>
      </w:r>
    </w:p>
    <w:p w14:paraId="7220AA35" w14:textId="77777777" w:rsidR="00D6422F" w:rsidRPr="00444712" w:rsidRDefault="00D6422F" w:rsidP="000F6E99">
      <w:pPr>
        <w:spacing w:line="240" w:lineRule="exact"/>
        <w:rPr>
          <w:rFonts w:eastAsia="Calibri" w:cs="Arial"/>
          <w:iCs/>
          <w:color w:val="auto"/>
          <w:lang w:eastAsia="en-US"/>
        </w:rPr>
      </w:pPr>
    </w:p>
    <w:p w14:paraId="6A2EB40E" w14:textId="2915204C" w:rsidR="0027038A" w:rsidRPr="00444712" w:rsidRDefault="00C85B9A" w:rsidP="000F6E99">
      <w:pPr>
        <w:spacing w:line="240" w:lineRule="exact"/>
        <w:rPr>
          <w:rFonts w:eastAsia="Calibri" w:cs="Arial"/>
          <w:iCs/>
          <w:color w:val="auto"/>
          <w:lang w:eastAsia="en-US"/>
        </w:rPr>
      </w:pPr>
      <w:r w:rsidRPr="00444712">
        <w:rPr>
          <w:rFonts w:eastAsia="Calibri" w:cs="Arial"/>
          <w:iCs/>
          <w:color w:val="auto"/>
          <w:lang w:eastAsia="en-US"/>
        </w:rPr>
        <w:t>De</w:t>
      </w:r>
      <w:r w:rsidR="00D6422F" w:rsidRPr="00444712">
        <w:rPr>
          <w:rFonts w:eastAsia="Calibri" w:cs="Arial"/>
          <w:iCs/>
          <w:color w:val="auto"/>
          <w:lang w:eastAsia="en-US"/>
        </w:rPr>
        <w:t xml:space="preserve"> tussentijdse </w:t>
      </w:r>
      <w:r w:rsidR="00D6422F" w:rsidRPr="00444712">
        <w:rPr>
          <w:color w:val="auto"/>
          <w:lang w:eastAsia="en-US"/>
        </w:rPr>
        <w:t>b</w:t>
      </w:r>
      <w:r w:rsidR="00C734ED" w:rsidRPr="00444712">
        <w:rPr>
          <w:color w:val="auto"/>
          <w:lang w:eastAsia="en-US"/>
        </w:rPr>
        <w:t xml:space="preserve">ijstellingen </w:t>
      </w:r>
      <w:r w:rsidR="002C11CB" w:rsidRPr="00444712">
        <w:rPr>
          <w:color w:val="auto"/>
          <w:lang w:eastAsia="en-US"/>
        </w:rPr>
        <w:t xml:space="preserve">in de accresraming worden veroorzaakt door de correctie van </w:t>
      </w:r>
      <w:r w:rsidR="00AC745D" w:rsidRPr="00444712">
        <w:rPr>
          <w:color w:val="auto"/>
          <w:lang w:eastAsia="en-US"/>
        </w:rPr>
        <w:t>de R</w:t>
      </w:r>
      <w:r w:rsidR="002C11CB" w:rsidRPr="00444712">
        <w:rPr>
          <w:color w:val="auto"/>
          <w:lang w:eastAsia="en-US"/>
        </w:rPr>
        <w:t xml:space="preserve">ijksbegroting voor </w:t>
      </w:r>
      <w:r w:rsidR="0027038A" w:rsidRPr="00444712">
        <w:rPr>
          <w:color w:val="auto"/>
          <w:lang w:eastAsia="en-US"/>
        </w:rPr>
        <w:t xml:space="preserve">loon- en prijsontwikkeling, </w:t>
      </w:r>
      <w:r w:rsidR="002C11CB" w:rsidRPr="00444712">
        <w:rPr>
          <w:rFonts w:eastAsia="Calibri" w:cs="Arial"/>
          <w:iCs/>
          <w:color w:val="auto"/>
          <w:lang w:eastAsia="en-US"/>
        </w:rPr>
        <w:t>onderuitputting op lopende rijksuitgaven</w:t>
      </w:r>
      <w:r w:rsidR="0027038A" w:rsidRPr="00444712">
        <w:rPr>
          <w:rFonts w:eastAsia="Calibri" w:cs="Arial"/>
          <w:iCs/>
          <w:color w:val="auto"/>
          <w:lang w:eastAsia="en-US"/>
        </w:rPr>
        <w:t xml:space="preserve"> en meerjarig gestegen uitgaven</w:t>
      </w:r>
      <w:r w:rsidR="002C11CB" w:rsidRPr="00444712">
        <w:rPr>
          <w:rFonts w:eastAsia="Calibri" w:cs="Arial"/>
          <w:iCs/>
          <w:color w:val="auto"/>
          <w:lang w:eastAsia="en-US"/>
        </w:rPr>
        <w:t>.</w:t>
      </w:r>
      <w:r w:rsidR="0027038A" w:rsidRPr="00444712">
        <w:rPr>
          <w:rFonts w:eastAsia="Calibri" w:cs="Arial"/>
          <w:iCs/>
          <w:color w:val="auto"/>
          <w:lang w:eastAsia="en-US"/>
        </w:rPr>
        <w:t xml:space="preserve"> De schommelingen in de loon- en prijsraming leiden niet tot reële mee- en tegenvallers aangezien hier ook lagere uitgaven voor </w:t>
      </w:r>
      <w:r w:rsidRPr="00444712">
        <w:rPr>
          <w:rFonts w:eastAsia="Calibri" w:cs="Arial"/>
          <w:iCs/>
          <w:color w:val="auto"/>
          <w:lang w:eastAsia="en-US"/>
        </w:rPr>
        <w:t>gemeenten</w:t>
      </w:r>
      <w:r w:rsidR="0021319B" w:rsidRPr="00444712">
        <w:rPr>
          <w:rFonts w:eastAsia="Calibri" w:cs="Arial"/>
          <w:iCs/>
          <w:color w:val="auto"/>
          <w:lang w:eastAsia="en-US"/>
        </w:rPr>
        <w:t xml:space="preserve"> </w:t>
      </w:r>
      <w:r w:rsidR="0027038A" w:rsidRPr="00444712">
        <w:rPr>
          <w:rFonts w:eastAsia="Calibri" w:cs="Arial"/>
          <w:iCs/>
          <w:color w:val="auto"/>
          <w:lang w:eastAsia="en-US"/>
        </w:rPr>
        <w:t>tegenover staan.</w:t>
      </w:r>
    </w:p>
    <w:p w14:paraId="6EBAF2F0" w14:textId="09E879DB" w:rsidR="00C227C4" w:rsidRPr="00444712" w:rsidRDefault="00C227C4" w:rsidP="000F6E99">
      <w:pPr>
        <w:spacing w:line="240" w:lineRule="exact"/>
        <w:rPr>
          <w:rFonts w:eastAsia="Calibri" w:cs="Arial"/>
          <w:iCs/>
          <w:color w:val="auto"/>
          <w:lang w:eastAsia="en-US"/>
        </w:rPr>
      </w:pPr>
    </w:p>
    <w:p w14:paraId="1506E2E4" w14:textId="11E54718" w:rsidR="00E5348E" w:rsidRPr="00444712" w:rsidRDefault="00E5348E" w:rsidP="000F6E99">
      <w:pPr>
        <w:spacing w:line="240" w:lineRule="exact"/>
        <w:rPr>
          <w:rFonts w:eastAsia="Calibri" w:cs="Arial"/>
          <w:iCs/>
          <w:color w:val="auto"/>
          <w:lang w:eastAsia="en-US"/>
        </w:rPr>
      </w:pPr>
      <w:r w:rsidRPr="00444712">
        <w:rPr>
          <w:rFonts w:eastAsia="Calibri" w:cs="Arial"/>
          <w:iCs/>
          <w:color w:val="auto"/>
          <w:lang w:eastAsia="en-US"/>
        </w:rPr>
        <w:t>Het kabinet vindt het belangrijk om de schommelingen</w:t>
      </w:r>
      <w:r w:rsidR="00C85B9A" w:rsidRPr="00444712">
        <w:rPr>
          <w:rFonts w:eastAsia="Calibri" w:cs="Arial"/>
          <w:iCs/>
          <w:color w:val="auto"/>
          <w:lang w:eastAsia="en-US"/>
        </w:rPr>
        <w:t xml:space="preserve"> voor gemeenten</w:t>
      </w:r>
      <w:r w:rsidRPr="00444712">
        <w:rPr>
          <w:rFonts w:eastAsia="Calibri" w:cs="Arial"/>
          <w:iCs/>
          <w:color w:val="auto"/>
          <w:lang w:eastAsia="en-US"/>
        </w:rPr>
        <w:t xml:space="preserve"> te dempen</w:t>
      </w:r>
      <w:r w:rsidR="00C734ED" w:rsidRPr="00444712">
        <w:rPr>
          <w:rFonts w:eastAsia="Calibri" w:cs="Arial"/>
          <w:iCs/>
          <w:color w:val="auto"/>
          <w:lang w:eastAsia="en-US"/>
        </w:rPr>
        <w:t>;</w:t>
      </w:r>
      <w:r w:rsidRPr="00444712">
        <w:rPr>
          <w:rFonts w:eastAsia="Calibri" w:cs="Arial"/>
          <w:iCs/>
          <w:color w:val="auto"/>
          <w:lang w:eastAsia="en-US"/>
        </w:rPr>
        <w:t xml:space="preserve"> hoe stabieler de inkomsten, hoe beter gemeente</w:t>
      </w:r>
      <w:r w:rsidR="00C85B9A" w:rsidRPr="00444712">
        <w:rPr>
          <w:rFonts w:eastAsia="Calibri" w:cs="Arial"/>
          <w:iCs/>
          <w:color w:val="auto"/>
          <w:lang w:eastAsia="en-US"/>
        </w:rPr>
        <w:t>n</w:t>
      </w:r>
      <w:r w:rsidRPr="00444712">
        <w:rPr>
          <w:rFonts w:eastAsia="Calibri" w:cs="Arial"/>
          <w:iCs/>
          <w:color w:val="auto"/>
          <w:lang w:eastAsia="en-US"/>
        </w:rPr>
        <w:t xml:space="preserve"> uitgerust zijn om hun taken uit te voeren</w:t>
      </w:r>
      <w:r w:rsidR="00EE6816">
        <w:rPr>
          <w:rFonts w:eastAsia="Calibri" w:cs="Arial"/>
          <w:iCs/>
          <w:color w:val="auto"/>
          <w:lang w:eastAsia="en-US"/>
        </w:rPr>
        <w:t>. We herkennen dan ook de motie</w:t>
      </w:r>
      <w:r w:rsidRPr="00444712">
        <w:rPr>
          <w:rFonts w:eastAsia="Calibri" w:cs="Arial"/>
          <w:iCs/>
          <w:color w:val="auto"/>
          <w:lang w:eastAsia="en-US"/>
        </w:rPr>
        <w:t xml:space="preserve"> </w:t>
      </w:r>
      <w:r w:rsidRPr="00444712">
        <w:rPr>
          <w:rFonts w:cs="Arial"/>
          <w:iCs/>
          <w:color w:val="auto"/>
        </w:rPr>
        <w:t>Özütok</w:t>
      </w:r>
      <w:r w:rsidRPr="00444712">
        <w:rPr>
          <w:rStyle w:val="Voetnootmarkering"/>
          <w:rFonts w:cs="Arial"/>
          <w:iCs/>
          <w:color w:val="auto"/>
        </w:rPr>
        <w:footnoteReference w:id="1"/>
      </w:r>
      <w:r w:rsidRPr="00444712">
        <w:rPr>
          <w:rFonts w:cs="Arial"/>
          <w:iCs/>
          <w:color w:val="auto"/>
        </w:rPr>
        <w:t xml:space="preserve"> en motie Segers c.s.</w:t>
      </w:r>
      <w:r w:rsidRPr="00444712">
        <w:rPr>
          <w:rStyle w:val="Voetnootmarkering"/>
          <w:rFonts w:cs="Arial"/>
          <w:iCs/>
          <w:color w:val="auto"/>
        </w:rPr>
        <w:footnoteReference w:id="2"/>
      </w:r>
      <w:r w:rsidRPr="00444712">
        <w:rPr>
          <w:rFonts w:cs="Arial"/>
          <w:iCs/>
          <w:color w:val="auto"/>
        </w:rPr>
        <w:t xml:space="preserve"> </w:t>
      </w:r>
      <w:r w:rsidRPr="00444712">
        <w:rPr>
          <w:color w:val="auto"/>
        </w:rPr>
        <w:t>om met voorstellen te komen om de toepassing van de huidige trap-op, trap-af te veranderen. Het kabinet heeft actief met de VNG onderzocht hoe aan deze oproep gehoor gegeven kan worden.</w:t>
      </w:r>
    </w:p>
    <w:p w14:paraId="443B087D" w14:textId="77777777" w:rsidR="00AC745D" w:rsidRPr="00444712" w:rsidRDefault="00AC745D" w:rsidP="000F6E99">
      <w:pPr>
        <w:pStyle w:val="Geenafstand"/>
        <w:spacing w:line="240" w:lineRule="exact"/>
        <w:rPr>
          <w:color w:val="auto"/>
        </w:rPr>
      </w:pPr>
    </w:p>
    <w:p w14:paraId="27C17E13" w14:textId="77777777" w:rsidR="00C227C4" w:rsidRPr="00444712" w:rsidRDefault="00CF13EB" w:rsidP="000F6E99">
      <w:pPr>
        <w:spacing w:line="240" w:lineRule="exact"/>
        <w:rPr>
          <w:rFonts w:eastAsia="Calibri" w:cs="Arial"/>
          <w:b/>
          <w:iCs/>
          <w:color w:val="auto"/>
          <w:lang w:eastAsia="en-US"/>
        </w:rPr>
      </w:pPr>
      <w:r w:rsidRPr="00444712">
        <w:rPr>
          <w:rFonts w:eastAsia="Calibri" w:cs="Arial"/>
          <w:b/>
          <w:iCs/>
          <w:color w:val="auto"/>
          <w:lang w:eastAsia="en-US"/>
        </w:rPr>
        <w:t>Standpunt k</w:t>
      </w:r>
      <w:r w:rsidR="00D22D60" w:rsidRPr="00444712">
        <w:rPr>
          <w:rFonts w:eastAsia="Calibri" w:cs="Arial"/>
          <w:b/>
          <w:iCs/>
          <w:color w:val="auto"/>
          <w:lang w:eastAsia="en-US"/>
        </w:rPr>
        <w:t xml:space="preserve">abinet: </w:t>
      </w:r>
      <w:r w:rsidR="00E5348E" w:rsidRPr="00444712">
        <w:rPr>
          <w:rFonts w:eastAsia="Calibri" w:cs="Arial"/>
          <w:b/>
          <w:iCs/>
          <w:color w:val="auto"/>
          <w:lang w:eastAsia="en-US"/>
        </w:rPr>
        <w:t>d</w:t>
      </w:r>
      <w:r w:rsidR="00A34FB1" w:rsidRPr="00444712">
        <w:rPr>
          <w:rFonts w:eastAsia="Calibri" w:cs="Arial"/>
          <w:b/>
          <w:iCs/>
          <w:color w:val="auto"/>
          <w:lang w:eastAsia="en-US"/>
        </w:rPr>
        <w:t>empen van de schommelingen</w:t>
      </w:r>
    </w:p>
    <w:p w14:paraId="450E7080" w14:textId="67501F49" w:rsidR="00A0740A" w:rsidRPr="00767620" w:rsidRDefault="004C3AC3" w:rsidP="00767620">
      <w:pPr>
        <w:autoSpaceDN/>
        <w:spacing w:line="240" w:lineRule="auto"/>
        <w:rPr>
          <w:rFonts w:ascii="Times New Roman" w:hAnsi="Times New Roman" w:cs="Times New Roman"/>
          <w:color w:val="auto"/>
          <w:sz w:val="24"/>
          <w:szCs w:val="24"/>
        </w:rPr>
      </w:pPr>
      <w:r w:rsidRPr="00444712">
        <w:rPr>
          <w:color w:val="auto"/>
        </w:rPr>
        <w:t>Het kabinet herkent de onrust die de huidige systematiek veroorzaakt en wil zich inzetten om deze onrust te beperken. Het kabinet vindt het daarnaast belangrijk om de samenwerking en evenredigheid te bewaken. De samen trap-op, samen trap-af</w:t>
      </w:r>
      <w:r w:rsidR="0073705C">
        <w:rPr>
          <w:color w:val="auto"/>
        </w:rPr>
        <w:t xml:space="preserve"> </w:t>
      </w:r>
      <w:r w:rsidRPr="00444712">
        <w:rPr>
          <w:color w:val="auto"/>
        </w:rPr>
        <w:t xml:space="preserve">systematiek is </w:t>
      </w:r>
      <w:r w:rsidR="00A0740A" w:rsidRPr="00444712">
        <w:rPr>
          <w:color w:val="auto"/>
        </w:rPr>
        <w:t>een gez</w:t>
      </w:r>
      <w:r w:rsidR="0073705C">
        <w:rPr>
          <w:color w:val="auto"/>
        </w:rPr>
        <w:t>amenlijke bestuurlijke afspraak</w:t>
      </w:r>
      <w:r w:rsidR="00ED179E">
        <w:rPr>
          <w:rStyle w:val="Voetnootmarkering"/>
          <w:color w:val="auto"/>
        </w:rPr>
        <w:footnoteReference w:id="3"/>
      </w:r>
      <w:r w:rsidR="00ED179E">
        <w:rPr>
          <w:color w:val="auto"/>
        </w:rPr>
        <w:t xml:space="preserve"> </w:t>
      </w:r>
      <w:r w:rsidRPr="00444712">
        <w:rPr>
          <w:color w:val="auto"/>
        </w:rPr>
        <w:t xml:space="preserve">. </w:t>
      </w:r>
    </w:p>
    <w:p w14:paraId="55FEB0EC" w14:textId="610AAB24" w:rsidR="004C3AC3" w:rsidRPr="00444712" w:rsidRDefault="004C3AC3" w:rsidP="000F6E99">
      <w:pPr>
        <w:spacing w:line="240" w:lineRule="exact"/>
        <w:rPr>
          <w:color w:val="auto"/>
        </w:rPr>
      </w:pPr>
      <w:r w:rsidRPr="00444712">
        <w:rPr>
          <w:color w:val="auto"/>
        </w:rPr>
        <w:t>Het kabinet wil hier daarom deze kabinetsperiode graag aan vasthouden. Binnen deze systematiek hebben de fondsbeheerders</w:t>
      </w:r>
      <w:r w:rsidRPr="00444712">
        <w:rPr>
          <w:rStyle w:val="Voetnootmarkering"/>
          <w:color w:val="auto"/>
        </w:rPr>
        <w:footnoteReference w:id="4"/>
      </w:r>
      <w:r w:rsidRPr="00444712">
        <w:rPr>
          <w:color w:val="auto"/>
        </w:rPr>
        <w:t xml:space="preserve"> samen met de VNG vier varianten onderzocht: 1.</w:t>
      </w:r>
      <w:r w:rsidR="00996EB8" w:rsidRPr="00444712">
        <w:rPr>
          <w:color w:val="auto"/>
        </w:rPr>
        <w:t xml:space="preserve"> </w:t>
      </w:r>
      <w:r w:rsidR="00996EB8" w:rsidRPr="00444712">
        <w:rPr>
          <w:color w:val="auto"/>
          <w:lang w:eastAsia="en-US"/>
        </w:rPr>
        <w:t>het accres op een bepaald moment bevriezen voor het lopende jaar</w:t>
      </w:r>
      <w:r w:rsidRPr="00444712">
        <w:rPr>
          <w:color w:val="auto"/>
        </w:rPr>
        <w:t xml:space="preserve">, 2. </w:t>
      </w:r>
      <w:r w:rsidR="00C734ED" w:rsidRPr="00444712">
        <w:rPr>
          <w:color w:val="auto"/>
        </w:rPr>
        <w:t>h</w:t>
      </w:r>
      <w:r w:rsidRPr="00444712">
        <w:rPr>
          <w:color w:val="auto"/>
        </w:rPr>
        <w:t>et invoeren van een behoedzaamheidsmarge binnen het gemeentefonds of op de gemeentebegroting, 3. voorschriften over de omgang met loon- en prijseffecten in het accres aanreiken, of 4. het toepassen van een kasschuif binnen het gemeentefonds</w:t>
      </w:r>
      <w:r w:rsidR="00ED179E">
        <w:rPr>
          <w:color w:val="auto"/>
        </w:rPr>
        <w:t xml:space="preserve"> (zie bijlage 2)</w:t>
      </w:r>
      <w:r w:rsidRPr="00444712">
        <w:rPr>
          <w:color w:val="auto"/>
        </w:rPr>
        <w:t>.</w:t>
      </w:r>
    </w:p>
    <w:p w14:paraId="26D62015" w14:textId="77777777" w:rsidR="004C3AC3" w:rsidRPr="00444712" w:rsidRDefault="004C3AC3" w:rsidP="000F6E99">
      <w:pPr>
        <w:spacing w:line="240" w:lineRule="exact"/>
        <w:rPr>
          <w:color w:val="auto"/>
        </w:rPr>
      </w:pPr>
    </w:p>
    <w:p w14:paraId="7F999101" w14:textId="77777777" w:rsidR="00CF13EB" w:rsidRPr="00444712" w:rsidRDefault="004C3AC3" w:rsidP="000F6E99">
      <w:pPr>
        <w:autoSpaceDE w:val="0"/>
        <w:adjustRightInd w:val="0"/>
        <w:spacing w:line="240" w:lineRule="exact"/>
        <w:textAlignment w:val="auto"/>
        <w:rPr>
          <w:color w:val="auto"/>
        </w:rPr>
      </w:pPr>
      <w:r w:rsidRPr="00444712">
        <w:rPr>
          <w:color w:val="auto"/>
        </w:rPr>
        <w:t xml:space="preserve">Het kabinet </w:t>
      </w:r>
      <w:r w:rsidR="00CF13EB" w:rsidRPr="00444712">
        <w:rPr>
          <w:color w:val="auto"/>
        </w:rPr>
        <w:t>spant zich in</w:t>
      </w:r>
      <w:r w:rsidRPr="00444712">
        <w:rPr>
          <w:color w:val="auto"/>
        </w:rPr>
        <w:t xml:space="preserve"> om</w:t>
      </w:r>
      <w:r w:rsidR="008753E1" w:rsidRPr="00444712">
        <w:rPr>
          <w:color w:val="auto"/>
        </w:rPr>
        <w:t xml:space="preserve"> gedurende deze kabinetsperiode</w:t>
      </w:r>
      <w:r w:rsidRPr="00444712">
        <w:rPr>
          <w:color w:val="auto"/>
        </w:rPr>
        <w:t xml:space="preserve"> de volumeschommeling in </w:t>
      </w:r>
      <w:r w:rsidR="008753E1" w:rsidRPr="00444712">
        <w:rPr>
          <w:color w:val="auto"/>
        </w:rPr>
        <w:t xml:space="preserve">de tweede helft van </w:t>
      </w:r>
      <w:r w:rsidRPr="00444712">
        <w:rPr>
          <w:color w:val="auto"/>
        </w:rPr>
        <w:t xml:space="preserve">het lopende jaar te </w:t>
      </w:r>
      <w:r w:rsidR="00CF13EB" w:rsidRPr="00444712">
        <w:rPr>
          <w:color w:val="auto"/>
        </w:rPr>
        <w:t>dempen</w:t>
      </w:r>
      <w:r w:rsidRPr="00444712">
        <w:rPr>
          <w:color w:val="auto"/>
        </w:rPr>
        <w:t xml:space="preserve">. Zoals eerder genoemd leiden de schommelingen door loon- en prijsbijstellingen niet tot reële mee- of tegenvallers; daarom houdt het kabinet </w:t>
      </w:r>
      <w:r w:rsidR="00C85B9A" w:rsidRPr="00444712">
        <w:rPr>
          <w:color w:val="auto"/>
        </w:rPr>
        <w:t xml:space="preserve">voor nu </w:t>
      </w:r>
      <w:r w:rsidRPr="00444712">
        <w:rPr>
          <w:color w:val="auto"/>
        </w:rPr>
        <w:t xml:space="preserve">vast aan deze indexatiesystematiek. </w:t>
      </w:r>
      <w:bookmarkStart w:id="0" w:name="_GoBack"/>
      <w:r w:rsidRPr="00444712">
        <w:rPr>
          <w:color w:val="auto"/>
        </w:rPr>
        <w:t xml:space="preserve">De demping van de schokken zal </w:t>
      </w:r>
      <w:r w:rsidR="005601DF" w:rsidRPr="00444712">
        <w:rPr>
          <w:color w:val="auto"/>
        </w:rPr>
        <w:t xml:space="preserve">binnen </w:t>
      </w:r>
      <w:r w:rsidRPr="00444712">
        <w:rPr>
          <w:color w:val="auto"/>
        </w:rPr>
        <w:t xml:space="preserve">de </w:t>
      </w:r>
      <w:proofErr w:type="spellStart"/>
      <w:r w:rsidRPr="00444712">
        <w:rPr>
          <w:color w:val="auto"/>
        </w:rPr>
        <w:t>meerjaren</w:t>
      </w:r>
      <w:proofErr w:type="spellEnd"/>
      <w:r w:rsidR="00C85B9A" w:rsidRPr="00444712">
        <w:rPr>
          <w:color w:val="auto"/>
        </w:rPr>
        <w:t xml:space="preserve"> </w:t>
      </w:r>
      <w:r w:rsidRPr="00444712">
        <w:rPr>
          <w:color w:val="auto"/>
        </w:rPr>
        <w:t>periode budgetneutraal</w:t>
      </w:r>
      <w:r w:rsidR="005601DF" w:rsidRPr="00444712">
        <w:rPr>
          <w:color w:val="auto"/>
        </w:rPr>
        <w:t xml:space="preserve"> en binnen de geldende</w:t>
      </w:r>
      <w:r w:rsidR="00C85B9A" w:rsidRPr="00444712">
        <w:rPr>
          <w:color w:val="auto"/>
        </w:rPr>
        <w:t xml:space="preserve"> </w:t>
      </w:r>
      <w:r w:rsidR="005601DF" w:rsidRPr="00444712">
        <w:rPr>
          <w:color w:val="auto"/>
        </w:rPr>
        <w:t>uitgavenplafonds</w:t>
      </w:r>
      <w:r w:rsidRPr="00444712">
        <w:rPr>
          <w:color w:val="auto"/>
        </w:rPr>
        <w:t xml:space="preserve"> gebeuren.</w:t>
      </w:r>
      <w:r w:rsidR="008753E1" w:rsidRPr="00444712">
        <w:rPr>
          <w:color w:val="auto"/>
        </w:rPr>
        <w:t xml:space="preserve"> Het kabinet zal wanneer de situatie zich voordoet in overleg met de VNG besluiten op welke manier hier mee kan worden omgegaan.</w:t>
      </w:r>
      <w:bookmarkEnd w:id="0"/>
      <w:r w:rsidR="008753E1" w:rsidRPr="00444712">
        <w:rPr>
          <w:color w:val="auto"/>
        </w:rPr>
        <w:t xml:space="preserve"> Daarbij zal het kabinet uit de bovenstaande </w:t>
      </w:r>
      <w:r w:rsidR="005601DF" w:rsidRPr="00444712">
        <w:rPr>
          <w:color w:val="auto"/>
        </w:rPr>
        <w:t>varianten</w:t>
      </w:r>
      <w:r w:rsidR="008753E1" w:rsidRPr="00444712">
        <w:rPr>
          <w:color w:val="auto"/>
        </w:rPr>
        <w:t xml:space="preserve"> kiezen. </w:t>
      </w:r>
    </w:p>
    <w:p w14:paraId="415CC93A" w14:textId="77777777" w:rsidR="00CF13EB" w:rsidRPr="00444712" w:rsidRDefault="00CF13EB" w:rsidP="000F6E99">
      <w:pPr>
        <w:autoSpaceDE w:val="0"/>
        <w:adjustRightInd w:val="0"/>
        <w:spacing w:line="240" w:lineRule="exact"/>
        <w:textAlignment w:val="auto"/>
        <w:rPr>
          <w:color w:val="auto"/>
        </w:rPr>
      </w:pPr>
    </w:p>
    <w:p w14:paraId="1FA08546" w14:textId="05F944C7" w:rsidR="008753E1" w:rsidRPr="00444712" w:rsidRDefault="008753E1" w:rsidP="000F6E99">
      <w:pPr>
        <w:autoSpaceDE w:val="0"/>
        <w:adjustRightInd w:val="0"/>
        <w:spacing w:line="240" w:lineRule="exact"/>
        <w:textAlignment w:val="auto"/>
        <w:rPr>
          <w:color w:val="auto"/>
        </w:rPr>
      </w:pPr>
      <w:r w:rsidRPr="00444712">
        <w:rPr>
          <w:color w:val="auto"/>
        </w:rPr>
        <w:lastRenderedPageBreak/>
        <w:t>De VNG stelt een vijfde optie voor, namelijk dat het Rijk voor de huidige kabinetsperiode afziet van verdere neerwaartse aanpassing van het accres</w:t>
      </w:r>
      <w:r w:rsidR="00CF5040" w:rsidRPr="00444712">
        <w:rPr>
          <w:color w:val="auto"/>
        </w:rPr>
        <w:t xml:space="preserve">, terwijl </w:t>
      </w:r>
      <w:r w:rsidRPr="00444712">
        <w:rPr>
          <w:color w:val="auto"/>
        </w:rPr>
        <w:t xml:space="preserve">opwaartse </w:t>
      </w:r>
      <w:r w:rsidR="00CF5040" w:rsidRPr="00444712">
        <w:rPr>
          <w:color w:val="auto"/>
        </w:rPr>
        <w:t xml:space="preserve">bijstelling </w:t>
      </w:r>
      <w:r w:rsidRPr="00444712">
        <w:rPr>
          <w:color w:val="auto"/>
        </w:rPr>
        <w:t xml:space="preserve">als gevolg van meeruitgaven door het Rijk wel moeten worden toegepast. Het gaat hierbij om een benadering waarin enkel de </w:t>
      </w:r>
      <w:r w:rsidR="00ED179E">
        <w:rPr>
          <w:color w:val="auto"/>
        </w:rPr>
        <w:t xml:space="preserve">voordelen </w:t>
      </w:r>
      <w:r w:rsidRPr="00444712">
        <w:rPr>
          <w:color w:val="auto"/>
        </w:rPr>
        <w:t>van de samen trap-op, samen trap-af</w:t>
      </w:r>
      <w:r w:rsidR="0021319B" w:rsidRPr="00444712">
        <w:rPr>
          <w:color w:val="auto"/>
        </w:rPr>
        <w:t xml:space="preserve"> </w:t>
      </w:r>
      <w:r w:rsidRPr="00444712">
        <w:rPr>
          <w:color w:val="auto"/>
        </w:rPr>
        <w:t>systematiek voor gemeenten overeind blijven. Hiermee vervalt de evenredigheid omdat er alleen sprake van trap-op is</w:t>
      </w:r>
      <w:r w:rsidR="00CF5040" w:rsidRPr="00444712">
        <w:rPr>
          <w:color w:val="auto"/>
        </w:rPr>
        <w:t>. D</w:t>
      </w:r>
      <w:r w:rsidR="00CF13EB" w:rsidRPr="00444712">
        <w:rPr>
          <w:color w:val="auto"/>
        </w:rPr>
        <w:t>it vindt het kabinet onwenselijk</w:t>
      </w:r>
      <w:r w:rsidRPr="00444712">
        <w:rPr>
          <w:color w:val="auto"/>
        </w:rPr>
        <w:t>.</w:t>
      </w:r>
      <w:r w:rsidR="00CF13EB" w:rsidRPr="00444712">
        <w:rPr>
          <w:color w:val="auto"/>
        </w:rPr>
        <w:t xml:space="preserve"> </w:t>
      </w:r>
    </w:p>
    <w:p w14:paraId="6C2581AE" w14:textId="77777777" w:rsidR="00A0740A" w:rsidRPr="00444712" w:rsidRDefault="00A0740A" w:rsidP="000F6E99">
      <w:pPr>
        <w:autoSpaceDE w:val="0"/>
        <w:adjustRightInd w:val="0"/>
        <w:spacing w:line="240" w:lineRule="exact"/>
        <w:textAlignment w:val="auto"/>
        <w:rPr>
          <w:color w:val="auto"/>
        </w:rPr>
      </w:pPr>
    </w:p>
    <w:p w14:paraId="75ECD357" w14:textId="77777777" w:rsidR="00A0740A" w:rsidRPr="00444712" w:rsidRDefault="00A0740A" w:rsidP="000F6E99">
      <w:pPr>
        <w:pStyle w:val="Default"/>
        <w:spacing w:line="240" w:lineRule="exact"/>
        <w:rPr>
          <w:color w:val="auto"/>
          <w:sz w:val="18"/>
          <w:szCs w:val="18"/>
        </w:rPr>
      </w:pPr>
      <w:r w:rsidRPr="00444712">
        <w:rPr>
          <w:color w:val="auto"/>
          <w:sz w:val="18"/>
          <w:szCs w:val="18"/>
        </w:rPr>
        <w:t>Voor het kabinet is het belangrijk dat de huidige uitgangspunten van de trap-op, trap-af, waaronder evenredigheid, zoveel mogelijk intact blijven. De huidige trap-op, trap-af is immers een bestuurlijke afspraak die, naast andere afspraken met medeoverheden, is verankerd in het interbestuurlijk programma en een uitwerking is van gemaakte afspraken in het regeerakkoord.</w:t>
      </w:r>
      <w:r w:rsidRPr="00444712">
        <w:rPr>
          <w:rStyle w:val="s24"/>
          <w:rFonts w:eastAsia="Times New Roman" w:cs="Times New Roman"/>
          <w:iCs/>
          <w:color w:val="auto"/>
          <w:sz w:val="18"/>
          <w:szCs w:val="18"/>
        </w:rPr>
        <w:t xml:space="preserve"> </w:t>
      </w:r>
    </w:p>
    <w:p w14:paraId="19749670" w14:textId="77777777" w:rsidR="008753E1" w:rsidRPr="00444712" w:rsidRDefault="008753E1" w:rsidP="000F6E99">
      <w:pPr>
        <w:autoSpaceDE w:val="0"/>
        <w:adjustRightInd w:val="0"/>
        <w:spacing w:line="240" w:lineRule="exact"/>
        <w:textAlignment w:val="auto"/>
        <w:rPr>
          <w:color w:val="auto"/>
        </w:rPr>
      </w:pPr>
    </w:p>
    <w:p w14:paraId="33C39141" w14:textId="77777777" w:rsidR="00FE3B76" w:rsidRDefault="00FE3B76" w:rsidP="00FE3B76">
      <w:pPr>
        <w:spacing w:line="240" w:lineRule="exact"/>
        <w:rPr>
          <w:rFonts w:eastAsia="Calibri" w:cs="Arial"/>
          <w:iCs/>
          <w:color w:val="auto"/>
          <w:lang w:eastAsia="en-US"/>
        </w:rPr>
      </w:pPr>
      <w:r>
        <w:rPr>
          <w:color w:val="auto"/>
        </w:rPr>
        <w:t xml:space="preserve">Ter voorbereiding van een volgende kabinetsperiode wordt momenteel samen met het VNG en Interprovinciaal Overleg (IPO), de trap-op, trap-af systematiek geëvalueerd. Een nieuw kabinet kan zodoende een eigen keuze maken in de te hanteren systematiek. </w:t>
      </w:r>
    </w:p>
    <w:p w14:paraId="4D9E78C2" w14:textId="77777777" w:rsidR="004C3AC3" w:rsidRPr="00444712" w:rsidRDefault="004C3AC3" w:rsidP="000F6E99">
      <w:pPr>
        <w:spacing w:line="240" w:lineRule="exact"/>
        <w:rPr>
          <w:rFonts w:eastAsia="Calibri" w:cs="Arial"/>
          <w:iCs/>
          <w:color w:val="auto"/>
          <w:lang w:eastAsia="en-US"/>
        </w:rPr>
      </w:pPr>
    </w:p>
    <w:p w14:paraId="1550CE9F" w14:textId="5B2376FC" w:rsidR="00DB55FE" w:rsidRPr="00444712" w:rsidRDefault="003651BF" w:rsidP="000F6E99">
      <w:pPr>
        <w:pStyle w:val="Geenafstand"/>
        <w:spacing w:line="240" w:lineRule="exact"/>
        <w:rPr>
          <w:b/>
          <w:color w:val="auto"/>
          <w:lang w:eastAsia="en-US"/>
        </w:rPr>
      </w:pPr>
      <w:r w:rsidRPr="00444712">
        <w:rPr>
          <w:b/>
          <w:color w:val="auto"/>
          <w:lang w:eastAsia="en-US"/>
        </w:rPr>
        <w:t xml:space="preserve">Doorwerking nieuwe </w:t>
      </w:r>
      <w:r w:rsidR="00821818" w:rsidRPr="00444712">
        <w:rPr>
          <w:b/>
          <w:color w:val="auto"/>
          <w:lang w:eastAsia="en-US"/>
        </w:rPr>
        <w:t xml:space="preserve">besluitvorming </w:t>
      </w:r>
      <w:r w:rsidRPr="00444712">
        <w:rPr>
          <w:b/>
          <w:color w:val="auto"/>
          <w:lang w:eastAsia="en-US"/>
        </w:rPr>
        <w:t>en vervolg</w:t>
      </w:r>
    </w:p>
    <w:p w14:paraId="2B401F03" w14:textId="0636540C" w:rsidR="00D978D8" w:rsidRPr="00444712" w:rsidRDefault="00CF5040" w:rsidP="000F6E99">
      <w:pPr>
        <w:spacing w:line="240" w:lineRule="exact"/>
        <w:rPr>
          <w:rStyle w:val="s7"/>
          <w:rFonts w:eastAsia="Times New Roman" w:cs="Times New Roman"/>
          <w:color w:val="auto"/>
        </w:rPr>
      </w:pPr>
      <w:r w:rsidRPr="00444712">
        <w:rPr>
          <w:rFonts w:eastAsia="Calibri" w:cs="Arial"/>
          <w:iCs/>
          <w:color w:val="auto"/>
          <w:lang w:eastAsia="en-US"/>
        </w:rPr>
        <w:t xml:space="preserve">Sinds de septembercirculaire heeft het kabinet extra middelen uitgetrokken voor </w:t>
      </w:r>
      <w:r w:rsidR="001C2EE1" w:rsidRPr="00444712">
        <w:rPr>
          <w:rFonts w:eastAsia="Calibri" w:cs="Arial"/>
          <w:iCs/>
          <w:color w:val="auto"/>
          <w:lang w:eastAsia="en-US"/>
        </w:rPr>
        <w:t>urgent</w:t>
      </w:r>
      <w:r w:rsidRPr="00444712">
        <w:rPr>
          <w:rFonts w:eastAsia="Calibri" w:cs="Arial"/>
          <w:iCs/>
          <w:color w:val="auto"/>
          <w:lang w:eastAsia="en-US"/>
        </w:rPr>
        <w:t>e maatschappelijke prioriteiten, zoals toegelicht in de Najaarsnota.</w:t>
      </w:r>
      <w:r w:rsidR="004C3AC3" w:rsidRPr="00444712">
        <w:rPr>
          <w:color w:val="auto"/>
        </w:rPr>
        <w:t xml:space="preserve"> </w:t>
      </w:r>
      <w:r w:rsidRPr="00444712">
        <w:rPr>
          <w:color w:val="auto"/>
        </w:rPr>
        <w:t xml:space="preserve">Hierdoor </w:t>
      </w:r>
      <w:r w:rsidR="004C3AC3" w:rsidRPr="00444712">
        <w:rPr>
          <w:color w:val="auto"/>
        </w:rPr>
        <w:t xml:space="preserve">is sprake van trap-op </w:t>
      </w:r>
      <w:r w:rsidRPr="00444712">
        <w:rPr>
          <w:color w:val="auto"/>
        </w:rPr>
        <w:t xml:space="preserve">vergeleken met de </w:t>
      </w:r>
      <w:r w:rsidR="001C2EE1" w:rsidRPr="00444712">
        <w:rPr>
          <w:color w:val="auto"/>
        </w:rPr>
        <w:t>laatst gepubliceerde</w:t>
      </w:r>
      <w:r w:rsidR="00D978D8" w:rsidRPr="00444712">
        <w:rPr>
          <w:color w:val="auto"/>
        </w:rPr>
        <w:t xml:space="preserve"> </w:t>
      </w:r>
      <w:r w:rsidRPr="00444712">
        <w:rPr>
          <w:color w:val="auto"/>
        </w:rPr>
        <w:t>stand</w:t>
      </w:r>
      <w:r w:rsidR="001C2EE1" w:rsidRPr="00444712">
        <w:rPr>
          <w:color w:val="auto"/>
        </w:rPr>
        <w:t xml:space="preserve"> voor het accres</w:t>
      </w:r>
      <w:r w:rsidR="004C3AC3" w:rsidRPr="00444712">
        <w:rPr>
          <w:color w:val="auto"/>
        </w:rPr>
        <w:t xml:space="preserve">. De definitieve afrekening van het accres is bij het </w:t>
      </w:r>
      <w:r w:rsidRPr="00444712">
        <w:rPr>
          <w:color w:val="auto"/>
        </w:rPr>
        <w:t>F</w:t>
      </w:r>
      <w:r w:rsidR="004C3AC3" w:rsidRPr="00444712">
        <w:rPr>
          <w:rStyle w:val="s7"/>
          <w:rFonts w:eastAsia="Times New Roman" w:cs="Times New Roman"/>
          <w:color w:val="auto"/>
        </w:rPr>
        <w:t xml:space="preserve">inancieel </w:t>
      </w:r>
      <w:r w:rsidRPr="00444712">
        <w:rPr>
          <w:rStyle w:val="s7"/>
          <w:rFonts w:eastAsia="Times New Roman" w:cs="Times New Roman"/>
          <w:color w:val="auto"/>
        </w:rPr>
        <w:t>J</w:t>
      </w:r>
      <w:r w:rsidR="004C3AC3" w:rsidRPr="00444712">
        <w:rPr>
          <w:rStyle w:val="s7"/>
          <w:rFonts w:eastAsia="Times New Roman" w:cs="Times New Roman"/>
          <w:color w:val="auto"/>
        </w:rPr>
        <w:t xml:space="preserve">aarverslag </w:t>
      </w:r>
      <w:r w:rsidRPr="00444712">
        <w:rPr>
          <w:rStyle w:val="s7"/>
          <w:rFonts w:eastAsia="Times New Roman" w:cs="Times New Roman"/>
          <w:color w:val="auto"/>
        </w:rPr>
        <w:t xml:space="preserve">Rijk </w:t>
      </w:r>
      <w:r w:rsidR="004C3AC3" w:rsidRPr="00444712">
        <w:rPr>
          <w:rStyle w:val="s7"/>
          <w:rFonts w:eastAsia="Times New Roman" w:cs="Times New Roman"/>
          <w:color w:val="auto"/>
        </w:rPr>
        <w:t>2019</w:t>
      </w:r>
      <w:r w:rsidRPr="00444712">
        <w:rPr>
          <w:rStyle w:val="s7"/>
          <w:rFonts w:eastAsia="Times New Roman" w:cs="Times New Roman"/>
          <w:color w:val="auto"/>
        </w:rPr>
        <w:t xml:space="preserve"> in het voorjaar van 2020</w:t>
      </w:r>
      <w:r w:rsidR="004C3AC3" w:rsidRPr="00444712">
        <w:rPr>
          <w:rStyle w:val="s7"/>
          <w:rFonts w:eastAsia="Times New Roman" w:cs="Times New Roman"/>
          <w:color w:val="auto"/>
        </w:rPr>
        <w:t xml:space="preserve">. </w:t>
      </w:r>
    </w:p>
    <w:p w14:paraId="55F280F1" w14:textId="77777777" w:rsidR="00D978D8" w:rsidRPr="00444712" w:rsidRDefault="00D978D8" w:rsidP="000F6E99">
      <w:pPr>
        <w:spacing w:line="240" w:lineRule="exact"/>
        <w:rPr>
          <w:rStyle w:val="s7"/>
          <w:rFonts w:eastAsia="Times New Roman" w:cs="Times New Roman"/>
          <w:color w:val="auto"/>
        </w:rPr>
      </w:pPr>
    </w:p>
    <w:p w14:paraId="534988FF" w14:textId="34639F65" w:rsidR="004C3AC3" w:rsidRPr="00444712" w:rsidRDefault="00CF5040" w:rsidP="000F6E99">
      <w:pPr>
        <w:spacing w:line="240" w:lineRule="exact"/>
        <w:rPr>
          <w:rStyle w:val="s7"/>
          <w:rFonts w:eastAsia="Times New Roman" w:cs="Times New Roman"/>
          <w:color w:val="auto"/>
        </w:rPr>
      </w:pPr>
      <w:r w:rsidRPr="00444712">
        <w:rPr>
          <w:rFonts w:eastAsia="Calibri" w:cs="Arial"/>
          <w:iCs/>
          <w:color w:val="auto"/>
          <w:lang w:eastAsia="en-US"/>
        </w:rPr>
        <w:t>In de meerjarenraming van de Miljoen</w:t>
      </w:r>
      <w:r w:rsidR="00DB55FE" w:rsidRPr="00444712">
        <w:rPr>
          <w:rFonts w:eastAsia="Calibri" w:cs="Arial"/>
          <w:iCs/>
          <w:color w:val="auto"/>
          <w:lang w:eastAsia="en-US"/>
        </w:rPr>
        <w:t>en</w:t>
      </w:r>
      <w:r w:rsidRPr="00444712">
        <w:rPr>
          <w:rFonts w:eastAsia="Calibri" w:cs="Arial"/>
          <w:iCs/>
          <w:color w:val="auto"/>
          <w:lang w:eastAsia="en-US"/>
        </w:rPr>
        <w:t xml:space="preserve">nota 2020 zijn </w:t>
      </w:r>
      <w:r w:rsidR="00DA7591" w:rsidRPr="00444712">
        <w:rPr>
          <w:rFonts w:eastAsia="Calibri" w:cs="Arial"/>
          <w:iCs/>
          <w:color w:val="auto"/>
          <w:lang w:eastAsia="en-US"/>
        </w:rPr>
        <w:t xml:space="preserve">bovendien </w:t>
      </w:r>
      <w:r w:rsidRPr="00444712">
        <w:rPr>
          <w:rFonts w:eastAsia="Calibri" w:cs="Arial"/>
          <w:iCs/>
          <w:color w:val="auto"/>
          <w:lang w:eastAsia="en-US"/>
        </w:rPr>
        <w:t xml:space="preserve">de investeringsuitgaven 2019 en 2020 meer gespreid over latere jaren. </w:t>
      </w:r>
      <w:r w:rsidRPr="00444712">
        <w:rPr>
          <w:rStyle w:val="s7"/>
          <w:rFonts w:eastAsia="Times New Roman" w:cs="Times New Roman"/>
          <w:color w:val="auto"/>
        </w:rPr>
        <w:t>Hierdoor</w:t>
      </w:r>
      <w:r w:rsidR="004C3AC3" w:rsidRPr="00444712">
        <w:rPr>
          <w:rStyle w:val="s7"/>
          <w:rFonts w:eastAsia="Times New Roman" w:cs="Times New Roman"/>
          <w:color w:val="auto"/>
        </w:rPr>
        <w:t xml:space="preserve"> wordt zo veel mogelijk voorkomen dat deze in het lopende jaar moeten worden bijgesteld. Dit zou een significa</w:t>
      </w:r>
      <w:r w:rsidRPr="00444712">
        <w:rPr>
          <w:rStyle w:val="s7"/>
          <w:rFonts w:eastAsia="Times New Roman" w:cs="Times New Roman"/>
          <w:color w:val="auto"/>
        </w:rPr>
        <w:t>n</w:t>
      </w:r>
      <w:r w:rsidR="004C3AC3" w:rsidRPr="00444712">
        <w:rPr>
          <w:rStyle w:val="s7"/>
          <w:rFonts w:eastAsia="Times New Roman" w:cs="Times New Roman"/>
          <w:color w:val="auto"/>
        </w:rPr>
        <w:t>te bijdrage moeten leveren aan het voorkomen van de schommelingen</w:t>
      </w:r>
      <w:r w:rsidR="00821818" w:rsidRPr="00444712">
        <w:rPr>
          <w:rStyle w:val="s7"/>
          <w:rFonts w:eastAsia="Times New Roman" w:cs="Times New Roman"/>
          <w:color w:val="auto"/>
        </w:rPr>
        <w:t>.</w:t>
      </w:r>
    </w:p>
    <w:p w14:paraId="32F57FBB" w14:textId="77777777" w:rsidR="00444712" w:rsidRPr="00444712" w:rsidRDefault="00444712" w:rsidP="000F6E99">
      <w:pPr>
        <w:autoSpaceDE w:val="0"/>
        <w:spacing w:line="240" w:lineRule="exact"/>
        <w:rPr>
          <w:color w:val="auto"/>
        </w:rPr>
      </w:pPr>
    </w:p>
    <w:p w14:paraId="1771B68B" w14:textId="7FC46F6D" w:rsidR="00444712" w:rsidRPr="00444712" w:rsidRDefault="00444712" w:rsidP="000F6E99">
      <w:pPr>
        <w:autoSpaceDE w:val="0"/>
        <w:spacing w:line="240" w:lineRule="exact"/>
        <w:rPr>
          <w:color w:val="auto"/>
        </w:rPr>
      </w:pPr>
      <w:r w:rsidRPr="00444712">
        <w:rPr>
          <w:color w:val="auto"/>
        </w:rPr>
        <w:t>Tevens spant het kabinet zich in om gedurende deze kabinetsperiode negatieve volumebijstellingen in de tweede helft van het lopende jaar te dempen. Op het moment dat verdere schommelingen zich voordoen treden we in bestuurlijk gesprek met de VNG zodat we gezamenlijk tot een passende oplossing komen hoe hier mee om te gaan. Hiermee vertrouwt het kabinet voldoende ruimte te scheppen voor gemeenten om de belangrijke opgaven waar zij voor staan aan te kunnen pakken.</w:t>
      </w:r>
    </w:p>
    <w:p w14:paraId="6BE457BE" w14:textId="77777777" w:rsidR="00C85B9A" w:rsidRPr="00444712" w:rsidRDefault="00C85B9A" w:rsidP="000F6E99">
      <w:pPr>
        <w:pStyle w:val="Default"/>
        <w:spacing w:line="240" w:lineRule="exact"/>
        <w:rPr>
          <w:rFonts w:cs="Lohit Hindi"/>
          <w:color w:val="auto"/>
          <w:sz w:val="18"/>
          <w:szCs w:val="18"/>
        </w:rPr>
      </w:pPr>
    </w:p>
    <w:p w14:paraId="4DA48CF3" w14:textId="4965E417" w:rsidR="00916F8B" w:rsidRPr="00444712" w:rsidRDefault="000529E8" w:rsidP="000F6E99">
      <w:pPr>
        <w:pStyle w:val="Default"/>
        <w:spacing w:line="240" w:lineRule="exact"/>
        <w:rPr>
          <w:rFonts w:cs="Lohit Hindi"/>
          <w:color w:val="auto"/>
          <w:sz w:val="18"/>
          <w:szCs w:val="18"/>
        </w:rPr>
      </w:pPr>
      <w:r w:rsidRPr="00444712">
        <w:rPr>
          <w:rFonts w:cs="Lohit Hindi"/>
          <w:color w:val="auto"/>
          <w:sz w:val="18"/>
          <w:szCs w:val="18"/>
        </w:rPr>
        <w:t>mede namens</w:t>
      </w:r>
      <w:r w:rsidR="00916F8B" w:rsidRPr="00444712">
        <w:rPr>
          <w:rFonts w:cs="Lohit Hindi"/>
          <w:color w:val="auto"/>
          <w:sz w:val="18"/>
          <w:szCs w:val="18"/>
        </w:rPr>
        <w:t xml:space="preserve"> de staatssecretaris van Financiën,</w:t>
      </w:r>
      <w:r w:rsidRPr="00444712">
        <w:rPr>
          <w:rFonts w:cs="Lohit Hindi"/>
          <w:color w:val="auto"/>
          <w:sz w:val="18"/>
          <w:szCs w:val="18"/>
        </w:rPr>
        <w:t xml:space="preserve"> </w:t>
      </w:r>
    </w:p>
    <w:p w14:paraId="3CC036BF" w14:textId="77777777" w:rsidR="00916F8B" w:rsidRPr="00444712" w:rsidRDefault="00916F8B" w:rsidP="000F6E99">
      <w:pPr>
        <w:pStyle w:val="Default"/>
        <w:spacing w:line="240" w:lineRule="exact"/>
        <w:rPr>
          <w:rFonts w:cs="Lohit Hindi"/>
          <w:color w:val="auto"/>
          <w:sz w:val="18"/>
          <w:szCs w:val="18"/>
        </w:rPr>
      </w:pPr>
    </w:p>
    <w:p w14:paraId="35010984" w14:textId="77777777" w:rsidR="00916F8B" w:rsidRPr="00444712" w:rsidRDefault="00916F8B" w:rsidP="000F6E99">
      <w:pPr>
        <w:pStyle w:val="Default"/>
        <w:spacing w:line="240" w:lineRule="exact"/>
        <w:rPr>
          <w:rFonts w:cs="Lohit Hindi"/>
          <w:color w:val="auto"/>
          <w:sz w:val="18"/>
          <w:szCs w:val="18"/>
        </w:rPr>
      </w:pPr>
    </w:p>
    <w:p w14:paraId="03D6D56A" w14:textId="77777777" w:rsidR="00916F8B" w:rsidRPr="00444712" w:rsidRDefault="00916F8B" w:rsidP="000F6E99">
      <w:pPr>
        <w:pStyle w:val="Default"/>
        <w:spacing w:line="240" w:lineRule="exact"/>
        <w:rPr>
          <w:rFonts w:cs="Lohit Hindi"/>
          <w:color w:val="auto"/>
          <w:sz w:val="18"/>
          <w:szCs w:val="18"/>
        </w:rPr>
      </w:pPr>
    </w:p>
    <w:p w14:paraId="63C5E96B" w14:textId="77777777" w:rsidR="00916F8B" w:rsidRPr="00444712" w:rsidRDefault="00916F8B" w:rsidP="000F6E99">
      <w:pPr>
        <w:pStyle w:val="Default"/>
        <w:spacing w:line="240" w:lineRule="exact"/>
        <w:rPr>
          <w:rFonts w:cs="Lohit Hindi"/>
          <w:color w:val="auto"/>
          <w:sz w:val="18"/>
          <w:szCs w:val="18"/>
        </w:rPr>
      </w:pPr>
    </w:p>
    <w:p w14:paraId="3A98AAA1" w14:textId="77777777" w:rsidR="00916F8B" w:rsidRPr="00444712" w:rsidRDefault="00916F8B" w:rsidP="000F6E99">
      <w:pPr>
        <w:pStyle w:val="Default"/>
        <w:spacing w:line="240" w:lineRule="exact"/>
        <w:rPr>
          <w:rFonts w:cs="Lohit Hindi"/>
          <w:color w:val="auto"/>
          <w:sz w:val="18"/>
          <w:szCs w:val="18"/>
        </w:rPr>
      </w:pPr>
    </w:p>
    <w:p w14:paraId="0DD6A687" w14:textId="77777777" w:rsidR="00916F8B" w:rsidRPr="00444712" w:rsidRDefault="00916F8B" w:rsidP="000F6E99">
      <w:pPr>
        <w:pStyle w:val="Default"/>
        <w:spacing w:line="240" w:lineRule="exact"/>
        <w:rPr>
          <w:rFonts w:cs="Lohit Hindi"/>
          <w:color w:val="auto"/>
          <w:sz w:val="18"/>
          <w:szCs w:val="18"/>
        </w:rPr>
      </w:pPr>
    </w:p>
    <w:p w14:paraId="7EBF39D1" w14:textId="77777777" w:rsidR="00916F8B" w:rsidRPr="00444712" w:rsidRDefault="00916F8B" w:rsidP="000F6E99">
      <w:pPr>
        <w:pStyle w:val="Default"/>
        <w:spacing w:line="240" w:lineRule="exact"/>
        <w:rPr>
          <w:rFonts w:cs="Lohit Hindi"/>
          <w:color w:val="auto"/>
          <w:sz w:val="18"/>
          <w:szCs w:val="18"/>
        </w:rPr>
      </w:pPr>
    </w:p>
    <w:p w14:paraId="091A10A6" w14:textId="77777777" w:rsidR="000529E8" w:rsidRPr="00444712" w:rsidRDefault="000529E8" w:rsidP="000F6E99">
      <w:pPr>
        <w:pStyle w:val="Default"/>
        <w:spacing w:line="240" w:lineRule="exact"/>
        <w:rPr>
          <w:rFonts w:cs="Lohit Hindi"/>
          <w:color w:val="auto"/>
          <w:sz w:val="18"/>
          <w:szCs w:val="18"/>
        </w:rPr>
      </w:pPr>
      <w:r w:rsidRPr="00444712">
        <w:rPr>
          <w:rFonts w:cs="Lohit Hindi"/>
          <w:color w:val="auto"/>
          <w:sz w:val="18"/>
          <w:szCs w:val="18"/>
        </w:rPr>
        <w:t xml:space="preserve">de minister van Binnenlandse Zaken en Koninkrijksrelaties, </w:t>
      </w:r>
    </w:p>
    <w:p w14:paraId="42E80854" w14:textId="1A6D4969" w:rsidR="001D0490" w:rsidRPr="00444712" w:rsidRDefault="00916F8B" w:rsidP="000F6E99">
      <w:pPr>
        <w:spacing w:line="240" w:lineRule="exact"/>
        <w:rPr>
          <w:color w:val="auto"/>
        </w:rPr>
      </w:pPr>
      <w:r w:rsidRPr="00444712">
        <w:rPr>
          <w:color w:val="auto"/>
        </w:rPr>
        <w:t>drs. R.W. Knops</w:t>
      </w:r>
      <w:r w:rsidR="000529E8" w:rsidRPr="00444712">
        <w:rPr>
          <w:color w:val="auto"/>
        </w:rPr>
        <w:br w:type="page"/>
      </w:r>
    </w:p>
    <w:p w14:paraId="65E000D7" w14:textId="77777777" w:rsidR="00DB55FE" w:rsidRPr="00444712" w:rsidRDefault="00DB55FE" w:rsidP="00DB55FE">
      <w:pPr>
        <w:spacing w:line="240" w:lineRule="auto"/>
        <w:rPr>
          <w:color w:val="auto"/>
        </w:rPr>
      </w:pPr>
      <w:r w:rsidRPr="00444712">
        <w:rPr>
          <w:rFonts w:eastAsia="Calibri" w:cs="Arial"/>
          <w:b/>
          <w:iCs/>
          <w:color w:val="auto"/>
          <w:lang w:eastAsia="en-US"/>
        </w:rPr>
        <w:lastRenderedPageBreak/>
        <w:t xml:space="preserve">Bijlage 1. </w:t>
      </w:r>
      <w:r w:rsidRPr="00444712">
        <w:rPr>
          <w:rFonts w:eastAsia="Times New Roman" w:cs="Calibri"/>
          <w:b/>
          <w:bCs/>
          <w:color w:val="auto"/>
        </w:rPr>
        <w:t>Ontwikkeling cumulatief accres sinds 2018</w:t>
      </w:r>
    </w:p>
    <w:p w14:paraId="5D8D21D4" w14:textId="77777777" w:rsidR="00DB55FE" w:rsidRPr="00444712" w:rsidRDefault="00DB55FE" w:rsidP="00DB55FE">
      <w:pPr>
        <w:rPr>
          <w:color w:val="auto"/>
        </w:rPr>
      </w:pPr>
    </w:p>
    <w:tbl>
      <w:tblPr>
        <w:tblStyle w:val="RViGTabelFormulieren"/>
        <w:tblW w:w="7366" w:type="dxa"/>
        <w:tblInd w:w="-5" w:type="dxa"/>
        <w:tblLayout w:type="fixed"/>
        <w:tblLook w:val="04A0" w:firstRow="1" w:lastRow="0" w:firstColumn="1" w:lastColumn="0" w:noHBand="0" w:noVBand="1"/>
      </w:tblPr>
      <w:tblGrid>
        <w:gridCol w:w="3397"/>
        <w:gridCol w:w="992"/>
        <w:gridCol w:w="992"/>
        <w:gridCol w:w="992"/>
        <w:gridCol w:w="993"/>
      </w:tblGrid>
      <w:tr w:rsidR="00444712" w:rsidRPr="00444712" w14:paraId="051789A1" w14:textId="77777777" w:rsidTr="006B4F1A">
        <w:trPr>
          <w:trHeight w:val="300"/>
        </w:trPr>
        <w:tc>
          <w:tcPr>
            <w:tcW w:w="3397" w:type="dxa"/>
            <w:noWrap/>
            <w:hideMark/>
          </w:tcPr>
          <w:p w14:paraId="0A57A72C" w14:textId="710014F9" w:rsidR="00DB55FE" w:rsidRPr="00444712" w:rsidRDefault="00C25A10" w:rsidP="006B4F1A">
            <w:pPr>
              <w:rPr>
                <w:b/>
                <w:color w:val="auto"/>
              </w:rPr>
            </w:pPr>
            <w:r w:rsidRPr="00444712">
              <w:rPr>
                <w:b/>
                <w:color w:val="auto"/>
              </w:rPr>
              <w:t>(in mln. euro)</w:t>
            </w:r>
          </w:p>
        </w:tc>
        <w:tc>
          <w:tcPr>
            <w:tcW w:w="992" w:type="dxa"/>
            <w:noWrap/>
            <w:hideMark/>
          </w:tcPr>
          <w:p w14:paraId="5FB4FEB3" w14:textId="77777777" w:rsidR="00DB55FE" w:rsidRPr="00444712" w:rsidRDefault="00DB55FE" w:rsidP="006B4F1A">
            <w:pPr>
              <w:jc w:val="center"/>
              <w:rPr>
                <w:b/>
                <w:color w:val="auto"/>
              </w:rPr>
            </w:pPr>
            <w:r w:rsidRPr="00444712">
              <w:rPr>
                <w:b/>
                <w:color w:val="auto"/>
              </w:rPr>
              <w:t>2018</w:t>
            </w:r>
          </w:p>
        </w:tc>
        <w:tc>
          <w:tcPr>
            <w:tcW w:w="992" w:type="dxa"/>
            <w:noWrap/>
            <w:hideMark/>
          </w:tcPr>
          <w:p w14:paraId="3D9C1050" w14:textId="77777777" w:rsidR="00DB55FE" w:rsidRPr="00444712" w:rsidRDefault="00DB55FE" w:rsidP="006B4F1A">
            <w:pPr>
              <w:jc w:val="center"/>
              <w:rPr>
                <w:b/>
                <w:color w:val="auto"/>
              </w:rPr>
            </w:pPr>
            <w:r w:rsidRPr="00444712">
              <w:rPr>
                <w:b/>
                <w:color w:val="auto"/>
              </w:rPr>
              <w:t>2019</w:t>
            </w:r>
          </w:p>
        </w:tc>
        <w:tc>
          <w:tcPr>
            <w:tcW w:w="992" w:type="dxa"/>
            <w:noWrap/>
            <w:hideMark/>
          </w:tcPr>
          <w:p w14:paraId="272AAD7F" w14:textId="77777777" w:rsidR="00DB55FE" w:rsidRPr="00444712" w:rsidRDefault="00DB55FE" w:rsidP="006B4F1A">
            <w:pPr>
              <w:jc w:val="center"/>
              <w:rPr>
                <w:b/>
                <w:color w:val="auto"/>
              </w:rPr>
            </w:pPr>
            <w:r w:rsidRPr="00444712">
              <w:rPr>
                <w:b/>
                <w:color w:val="auto"/>
              </w:rPr>
              <w:t>2020</w:t>
            </w:r>
          </w:p>
        </w:tc>
        <w:tc>
          <w:tcPr>
            <w:tcW w:w="993" w:type="dxa"/>
            <w:noWrap/>
            <w:hideMark/>
          </w:tcPr>
          <w:p w14:paraId="2B4EB236" w14:textId="77777777" w:rsidR="00DB55FE" w:rsidRPr="00444712" w:rsidRDefault="00DB55FE" w:rsidP="006B4F1A">
            <w:pPr>
              <w:jc w:val="center"/>
              <w:rPr>
                <w:b/>
                <w:color w:val="auto"/>
              </w:rPr>
            </w:pPr>
            <w:r w:rsidRPr="00444712">
              <w:rPr>
                <w:b/>
                <w:color w:val="auto"/>
              </w:rPr>
              <w:t>2021</w:t>
            </w:r>
          </w:p>
        </w:tc>
      </w:tr>
      <w:tr w:rsidR="00444712" w:rsidRPr="00444712" w14:paraId="72B04A47" w14:textId="77777777" w:rsidTr="006B4F1A">
        <w:trPr>
          <w:trHeight w:val="300"/>
        </w:trPr>
        <w:tc>
          <w:tcPr>
            <w:tcW w:w="3397" w:type="dxa"/>
            <w:noWrap/>
            <w:vAlign w:val="center"/>
            <w:hideMark/>
          </w:tcPr>
          <w:p w14:paraId="730787F4" w14:textId="77777777" w:rsidR="00DB55FE" w:rsidRPr="00444712" w:rsidRDefault="00DB55FE" w:rsidP="006B4F1A">
            <w:pPr>
              <w:rPr>
                <w:color w:val="auto"/>
              </w:rPr>
            </w:pPr>
            <w:r w:rsidRPr="00444712">
              <w:rPr>
                <w:color w:val="auto"/>
              </w:rPr>
              <w:t>Accres MN18 (voor start kabinet)</w:t>
            </w:r>
          </w:p>
        </w:tc>
        <w:tc>
          <w:tcPr>
            <w:tcW w:w="992" w:type="dxa"/>
            <w:noWrap/>
            <w:vAlign w:val="center"/>
            <w:hideMark/>
          </w:tcPr>
          <w:p w14:paraId="02F78AC3" w14:textId="77777777" w:rsidR="00DB55FE" w:rsidRPr="00444712" w:rsidRDefault="00DB55FE" w:rsidP="006B4F1A">
            <w:pPr>
              <w:jc w:val="right"/>
              <w:rPr>
                <w:color w:val="auto"/>
              </w:rPr>
            </w:pPr>
            <w:r w:rsidRPr="00444712">
              <w:rPr>
                <w:color w:val="auto"/>
              </w:rPr>
              <w:t>805</w:t>
            </w:r>
          </w:p>
        </w:tc>
        <w:tc>
          <w:tcPr>
            <w:tcW w:w="992" w:type="dxa"/>
            <w:noWrap/>
            <w:vAlign w:val="center"/>
            <w:hideMark/>
          </w:tcPr>
          <w:p w14:paraId="6D931CB3" w14:textId="77777777" w:rsidR="00DB55FE" w:rsidRPr="00444712" w:rsidRDefault="00DB55FE" w:rsidP="006B4F1A">
            <w:pPr>
              <w:jc w:val="right"/>
              <w:rPr>
                <w:color w:val="auto"/>
              </w:rPr>
            </w:pPr>
            <w:r w:rsidRPr="00444712">
              <w:rPr>
                <w:color w:val="auto"/>
              </w:rPr>
              <w:t>1250</w:t>
            </w:r>
          </w:p>
        </w:tc>
        <w:tc>
          <w:tcPr>
            <w:tcW w:w="992" w:type="dxa"/>
            <w:noWrap/>
            <w:vAlign w:val="center"/>
            <w:hideMark/>
          </w:tcPr>
          <w:p w14:paraId="3FC0F245" w14:textId="77777777" w:rsidR="00DB55FE" w:rsidRPr="00444712" w:rsidRDefault="00DB55FE" w:rsidP="006B4F1A">
            <w:pPr>
              <w:jc w:val="right"/>
              <w:rPr>
                <w:color w:val="auto"/>
              </w:rPr>
            </w:pPr>
            <w:r w:rsidRPr="00444712">
              <w:rPr>
                <w:color w:val="auto"/>
              </w:rPr>
              <w:t>1695</w:t>
            </w:r>
          </w:p>
        </w:tc>
        <w:tc>
          <w:tcPr>
            <w:tcW w:w="993" w:type="dxa"/>
            <w:noWrap/>
            <w:vAlign w:val="center"/>
            <w:hideMark/>
          </w:tcPr>
          <w:p w14:paraId="681B198E" w14:textId="77777777" w:rsidR="00DB55FE" w:rsidRPr="00444712" w:rsidRDefault="00DB55FE" w:rsidP="006B4F1A">
            <w:pPr>
              <w:jc w:val="right"/>
              <w:rPr>
                <w:color w:val="auto"/>
              </w:rPr>
            </w:pPr>
            <w:r w:rsidRPr="00444712">
              <w:rPr>
                <w:color w:val="auto"/>
              </w:rPr>
              <w:t>2090</w:t>
            </w:r>
          </w:p>
        </w:tc>
      </w:tr>
      <w:tr w:rsidR="00444712" w:rsidRPr="00444712" w14:paraId="2049F965" w14:textId="77777777" w:rsidTr="006B4F1A">
        <w:trPr>
          <w:trHeight w:val="300"/>
        </w:trPr>
        <w:tc>
          <w:tcPr>
            <w:tcW w:w="3397" w:type="dxa"/>
            <w:noWrap/>
            <w:vAlign w:val="center"/>
            <w:hideMark/>
          </w:tcPr>
          <w:p w14:paraId="701E82FF" w14:textId="77777777" w:rsidR="00DB55FE" w:rsidRPr="00444712" w:rsidRDefault="00DB55FE" w:rsidP="006B4F1A">
            <w:pPr>
              <w:rPr>
                <w:color w:val="auto"/>
              </w:rPr>
            </w:pPr>
            <w:r w:rsidRPr="00444712">
              <w:rPr>
                <w:color w:val="auto"/>
              </w:rPr>
              <w:t>Accres bij Startnota</w:t>
            </w:r>
          </w:p>
        </w:tc>
        <w:tc>
          <w:tcPr>
            <w:tcW w:w="992" w:type="dxa"/>
            <w:noWrap/>
            <w:vAlign w:val="center"/>
            <w:hideMark/>
          </w:tcPr>
          <w:p w14:paraId="5D945E8E" w14:textId="77777777" w:rsidR="00DB55FE" w:rsidRPr="00444712" w:rsidRDefault="00DB55FE" w:rsidP="006B4F1A">
            <w:pPr>
              <w:jc w:val="right"/>
              <w:rPr>
                <w:color w:val="auto"/>
              </w:rPr>
            </w:pPr>
            <w:r w:rsidRPr="00444712">
              <w:rPr>
                <w:color w:val="auto"/>
              </w:rPr>
              <w:t>1124</w:t>
            </w:r>
          </w:p>
        </w:tc>
        <w:tc>
          <w:tcPr>
            <w:tcW w:w="992" w:type="dxa"/>
            <w:noWrap/>
            <w:vAlign w:val="center"/>
            <w:hideMark/>
          </w:tcPr>
          <w:p w14:paraId="1FFC5969" w14:textId="77777777" w:rsidR="00DB55FE" w:rsidRPr="00444712" w:rsidRDefault="00DB55FE" w:rsidP="006B4F1A">
            <w:pPr>
              <w:jc w:val="right"/>
              <w:rPr>
                <w:color w:val="auto"/>
              </w:rPr>
            </w:pPr>
            <w:r w:rsidRPr="00444712">
              <w:rPr>
                <w:color w:val="auto"/>
              </w:rPr>
              <w:t>2187</w:t>
            </w:r>
          </w:p>
        </w:tc>
        <w:tc>
          <w:tcPr>
            <w:tcW w:w="992" w:type="dxa"/>
            <w:noWrap/>
            <w:vAlign w:val="center"/>
            <w:hideMark/>
          </w:tcPr>
          <w:p w14:paraId="2EFED33C" w14:textId="77777777" w:rsidR="00DB55FE" w:rsidRPr="00444712" w:rsidRDefault="00DB55FE" w:rsidP="006B4F1A">
            <w:pPr>
              <w:jc w:val="right"/>
              <w:rPr>
                <w:color w:val="auto"/>
              </w:rPr>
            </w:pPr>
            <w:r w:rsidRPr="00444712">
              <w:rPr>
                <w:color w:val="auto"/>
              </w:rPr>
              <w:t>3325</w:t>
            </w:r>
          </w:p>
        </w:tc>
        <w:tc>
          <w:tcPr>
            <w:tcW w:w="993" w:type="dxa"/>
            <w:noWrap/>
            <w:vAlign w:val="center"/>
            <w:hideMark/>
          </w:tcPr>
          <w:p w14:paraId="00FA6038" w14:textId="77777777" w:rsidR="00DB55FE" w:rsidRPr="00444712" w:rsidRDefault="00DB55FE" w:rsidP="006B4F1A">
            <w:pPr>
              <w:jc w:val="right"/>
              <w:rPr>
                <w:color w:val="auto"/>
              </w:rPr>
            </w:pPr>
            <w:r w:rsidRPr="00444712">
              <w:rPr>
                <w:color w:val="auto"/>
              </w:rPr>
              <w:t>4263</w:t>
            </w:r>
          </w:p>
        </w:tc>
      </w:tr>
      <w:tr w:rsidR="00444712" w:rsidRPr="00444712" w14:paraId="54FF9A2F" w14:textId="77777777" w:rsidTr="006B4F1A">
        <w:trPr>
          <w:trHeight w:val="300"/>
        </w:trPr>
        <w:tc>
          <w:tcPr>
            <w:tcW w:w="3397" w:type="dxa"/>
            <w:noWrap/>
            <w:vAlign w:val="center"/>
            <w:hideMark/>
          </w:tcPr>
          <w:p w14:paraId="50F1623F" w14:textId="77777777" w:rsidR="00DB55FE" w:rsidRPr="00444712" w:rsidRDefault="00DB55FE" w:rsidP="006B4F1A">
            <w:pPr>
              <w:rPr>
                <w:color w:val="auto"/>
              </w:rPr>
            </w:pPr>
            <w:r w:rsidRPr="00444712">
              <w:rPr>
                <w:color w:val="auto"/>
              </w:rPr>
              <w:t>Accres MN19</w:t>
            </w:r>
          </w:p>
        </w:tc>
        <w:tc>
          <w:tcPr>
            <w:tcW w:w="992" w:type="dxa"/>
            <w:noWrap/>
            <w:vAlign w:val="center"/>
            <w:hideMark/>
          </w:tcPr>
          <w:p w14:paraId="5752E5F6" w14:textId="77777777" w:rsidR="00DB55FE" w:rsidRPr="00444712" w:rsidRDefault="00DB55FE" w:rsidP="006B4F1A">
            <w:pPr>
              <w:jc w:val="right"/>
              <w:rPr>
                <w:color w:val="auto"/>
              </w:rPr>
            </w:pPr>
            <w:r w:rsidRPr="00444712">
              <w:rPr>
                <w:color w:val="auto"/>
              </w:rPr>
              <w:t>955</w:t>
            </w:r>
          </w:p>
        </w:tc>
        <w:tc>
          <w:tcPr>
            <w:tcW w:w="992" w:type="dxa"/>
            <w:noWrap/>
            <w:vAlign w:val="center"/>
            <w:hideMark/>
          </w:tcPr>
          <w:p w14:paraId="224CF313" w14:textId="77777777" w:rsidR="00DB55FE" w:rsidRPr="00444712" w:rsidRDefault="00DB55FE" w:rsidP="006B4F1A">
            <w:pPr>
              <w:jc w:val="right"/>
              <w:rPr>
                <w:color w:val="auto"/>
              </w:rPr>
            </w:pPr>
            <w:r w:rsidRPr="00444712">
              <w:rPr>
                <w:color w:val="auto"/>
              </w:rPr>
              <w:t>2167</w:t>
            </w:r>
          </w:p>
        </w:tc>
        <w:tc>
          <w:tcPr>
            <w:tcW w:w="992" w:type="dxa"/>
            <w:noWrap/>
            <w:vAlign w:val="center"/>
            <w:hideMark/>
          </w:tcPr>
          <w:p w14:paraId="7D15D82C" w14:textId="77777777" w:rsidR="00DB55FE" w:rsidRPr="00444712" w:rsidRDefault="00DB55FE" w:rsidP="006B4F1A">
            <w:pPr>
              <w:jc w:val="right"/>
              <w:rPr>
                <w:color w:val="auto"/>
              </w:rPr>
            </w:pPr>
            <w:r w:rsidRPr="00444712">
              <w:rPr>
                <w:color w:val="auto"/>
              </w:rPr>
              <w:t>3177</w:t>
            </w:r>
          </w:p>
        </w:tc>
        <w:tc>
          <w:tcPr>
            <w:tcW w:w="993" w:type="dxa"/>
            <w:noWrap/>
            <w:vAlign w:val="center"/>
            <w:hideMark/>
          </w:tcPr>
          <w:p w14:paraId="4A12F9A2" w14:textId="77777777" w:rsidR="00DB55FE" w:rsidRPr="00444712" w:rsidRDefault="00DB55FE" w:rsidP="006B4F1A">
            <w:pPr>
              <w:jc w:val="right"/>
              <w:rPr>
                <w:color w:val="auto"/>
              </w:rPr>
            </w:pPr>
            <w:r w:rsidRPr="00444712">
              <w:rPr>
                <w:color w:val="auto"/>
              </w:rPr>
              <w:t>4014</w:t>
            </w:r>
          </w:p>
        </w:tc>
      </w:tr>
      <w:tr w:rsidR="00444712" w:rsidRPr="00444712" w14:paraId="4F86D000" w14:textId="77777777" w:rsidTr="006B4F1A">
        <w:trPr>
          <w:trHeight w:val="300"/>
        </w:trPr>
        <w:tc>
          <w:tcPr>
            <w:tcW w:w="3397" w:type="dxa"/>
            <w:noWrap/>
            <w:vAlign w:val="center"/>
            <w:hideMark/>
          </w:tcPr>
          <w:p w14:paraId="6CCAF136" w14:textId="77777777" w:rsidR="00DB55FE" w:rsidRPr="00444712" w:rsidRDefault="00DB55FE" w:rsidP="006B4F1A">
            <w:pPr>
              <w:rPr>
                <w:color w:val="auto"/>
              </w:rPr>
            </w:pPr>
            <w:r w:rsidRPr="00444712">
              <w:rPr>
                <w:color w:val="auto"/>
              </w:rPr>
              <w:t>Accres VJN19/ FJR18</w:t>
            </w:r>
          </w:p>
        </w:tc>
        <w:tc>
          <w:tcPr>
            <w:tcW w:w="992" w:type="dxa"/>
            <w:noWrap/>
            <w:vAlign w:val="center"/>
            <w:hideMark/>
          </w:tcPr>
          <w:p w14:paraId="40949349" w14:textId="77777777" w:rsidR="00DB55FE" w:rsidRPr="00444712" w:rsidRDefault="00DB55FE" w:rsidP="006B4F1A">
            <w:pPr>
              <w:jc w:val="right"/>
              <w:rPr>
                <w:color w:val="auto"/>
              </w:rPr>
            </w:pPr>
            <w:r w:rsidRPr="00444712">
              <w:rPr>
                <w:color w:val="auto"/>
              </w:rPr>
              <w:t>807</w:t>
            </w:r>
          </w:p>
        </w:tc>
        <w:tc>
          <w:tcPr>
            <w:tcW w:w="992" w:type="dxa"/>
            <w:noWrap/>
            <w:vAlign w:val="center"/>
            <w:hideMark/>
          </w:tcPr>
          <w:p w14:paraId="1EE33C4D" w14:textId="77777777" w:rsidR="00DB55FE" w:rsidRPr="00444712" w:rsidRDefault="00DB55FE" w:rsidP="006B4F1A">
            <w:pPr>
              <w:jc w:val="right"/>
              <w:rPr>
                <w:color w:val="auto"/>
              </w:rPr>
            </w:pPr>
            <w:r w:rsidRPr="00444712">
              <w:rPr>
                <w:color w:val="auto"/>
              </w:rPr>
              <w:t>2093</w:t>
            </w:r>
          </w:p>
        </w:tc>
        <w:tc>
          <w:tcPr>
            <w:tcW w:w="992" w:type="dxa"/>
            <w:noWrap/>
            <w:vAlign w:val="center"/>
            <w:hideMark/>
          </w:tcPr>
          <w:p w14:paraId="0E8D1537" w14:textId="77777777" w:rsidR="00DB55FE" w:rsidRPr="00444712" w:rsidRDefault="00DB55FE" w:rsidP="006B4F1A">
            <w:pPr>
              <w:jc w:val="right"/>
              <w:rPr>
                <w:color w:val="auto"/>
              </w:rPr>
            </w:pPr>
            <w:r w:rsidRPr="00444712">
              <w:rPr>
                <w:color w:val="auto"/>
              </w:rPr>
              <w:t>2929</w:t>
            </w:r>
          </w:p>
        </w:tc>
        <w:tc>
          <w:tcPr>
            <w:tcW w:w="993" w:type="dxa"/>
            <w:noWrap/>
            <w:vAlign w:val="center"/>
            <w:hideMark/>
          </w:tcPr>
          <w:p w14:paraId="55739E25" w14:textId="77777777" w:rsidR="00DB55FE" w:rsidRPr="00444712" w:rsidRDefault="00DB55FE" w:rsidP="006B4F1A">
            <w:pPr>
              <w:jc w:val="right"/>
              <w:rPr>
                <w:color w:val="auto"/>
              </w:rPr>
            </w:pPr>
            <w:r w:rsidRPr="00444712">
              <w:rPr>
                <w:color w:val="auto"/>
              </w:rPr>
              <w:t>3627</w:t>
            </w:r>
          </w:p>
        </w:tc>
      </w:tr>
      <w:tr w:rsidR="00444712" w:rsidRPr="00444712" w14:paraId="717EEBA2" w14:textId="77777777" w:rsidTr="006B4F1A">
        <w:trPr>
          <w:trHeight w:val="300"/>
        </w:trPr>
        <w:tc>
          <w:tcPr>
            <w:tcW w:w="3397" w:type="dxa"/>
            <w:noWrap/>
            <w:vAlign w:val="center"/>
            <w:hideMark/>
          </w:tcPr>
          <w:p w14:paraId="01E672AF" w14:textId="77777777" w:rsidR="00DB55FE" w:rsidRPr="00444712" w:rsidRDefault="00DB55FE" w:rsidP="006B4F1A">
            <w:pPr>
              <w:rPr>
                <w:color w:val="auto"/>
              </w:rPr>
            </w:pPr>
            <w:r w:rsidRPr="00444712">
              <w:rPr>
                <w:color w:val="auto"/>
              </w:rPr>
              <w:t>Accres MN20</w:t>
            </w:r>
          </w:p>
        </w:tc>
        <w:tc>
          <w:tcPr>
            <w:tcW w:w="992" w:type="dxa"/>
            <w:noWrap/>
            <w:vAlign w:val="center"/>
            <w:hideMark/>
          </w:tcPr>
          <w:p w14:paraId="00CA5F85" w14:textId="77777777" w:rsidR="00DB55FE" w:rsidRPr="00444712" w:rsidRDefault="00DB55FE" w:rsidP="006B4F1A">
            <w:pPr>
              <w:jc w:val="right"/>
              <w:rPr>
                <w:color w:val="auto"/>
              </w:rPr>
            </w:pPr>
            <w:r w:rsidRPr="00444712">
              <w:rPr>
                <w:color w:val="auto"/>
              </w:rPr>
              <w:t>807</w:t>
            </w:r>
          </w:p>
        </w:tc>
        <w:tc>
          <w:tcPr>
            <w:tcW w:w="992" w:type="dxa"/>
            <w:noWrap/>
            <w:vAlign w:val="center"/>
            <w:hideMark/>
          </w:tcPr>
          <w:p w14:paraId="6EBF30C8" w14:textId="77777777" w:rsidR="00DB55FE" w:rsidRPr="00444712" w:rsidRDefault="00DB55FE" w:rsidP="006B4F1A">
            <w:pPr>
              <w:jc w:val="right"/>
              <w:rPr>
                <w:color w:val="auto"/>
              </w:rPr>
            </w:pPr>
            <w:r w:rsidRPr="00444712">
              <w:rPr>
                <w:color w:val="auto"/>
              </w:rPr>
              <w:t>1875</w:t>
            </w:r>
          </w:p>
        </w:tc>
        <w:tc>
          <w:tcPr>
            <w:tcW w:w="992" w:type="dxa"/>
            <w:noWrap/>
            <w:vAlign w:val="center"/>
            <w:hideMark/>
          </w:tcPr>
          <w:p w14:paraId="37BF53B9" w14:textId="77777777" w:rsidR="00DB55FE" w:rsidRPr="00444712" w:rsidRDefault="00DB55FE" w:rsidP="006B4F1A">
            <w:pPr>
              <w:jc w:val="right"/>
              <w:rPr>
                <w:color w:val="auto"/>
              </w:rPr>
            </w:pPr>
            <w:r w:rsidRPr="00444712">
              <w:rPr>
                <w:color w:val="auto"/>
              </w:rPr>
              <w:t>3119</w:t>
            </w:r>
          </w:p>
        </w:tc>
        <w:tc>
          <w:tcPr>
            <w:tcW w:w="993" w:type="dxa"/>
            <w:noWrap/>
            <w:vAlign w:val="center"/>
            <w:hideMark/>
          </w:tcPr>
          <w:p w14:paraId="41FBBC98" w14:textId="77777777" w:rsidR="00DB55FE" w:rsidRPr="00444712" w:rsidRDefault="00DB55FE" w:rsidP="006B4F1A">
            <w:pPr>
              <w:jc w:val="right"/>
              <w:rPr>
                <w:color w:val="auto"/>
              </w:rPr>
            </w:pPr>
            <w:r w:rsidRPr="00444712">
              <w:rPr>
                <w:color w:val="auto"/>
              </w:rPr>
              <w:t>4022</w:t>
            </w:r>
          </w:p>
        </w:tc>
      </w:tr>
    </w:tbl>
    <w:p w14:paraId="2D228C94" w14:textId="77777777" w:rsidR="00DB55FE" w:rsidRPr="00444712" w:rsidRDefault="00DB55FE" w:rsidP="00DB55FE">
      <w:pPr>
        <w:rPr>
          <w:color w:val="auto"/>
        </w:rPr>
      </w:pPr>
    </w:p>
    <w:p w14:paraId="2177E4CE" w14:textId="77777777" w:rsidR="00DB55FE" w:rsidRPr="00444712" w:rsidRDefault="00DB55FE" w:rsidP="00DB55FE">
      <w:pPr>
        <w:rPr>
          <w:color w:val="auto"/>
        </w:rPr>
      </w:pPr>
    </w:p>
    <w:p w14:paraId="0F9180EA" w14:textId="77777777" w:rsidR="00DB55FE" w:rsidRPr="00444712" w:rsidRDefault="00DB55FE" w:rsidP="00DB55FE">
      <w:pPr>
        <w:rPr>
          <w:color w:val="auto"/>
        </w:rPr>
      </w:pPr>
    </w:p>
    <w:p w14:paraId="5C0B4ED3" w14:textId="77777777" w:rsidR="00DB55FE" w:rsidRPr="00444712" w:rsidRDefault="00DB55FE" w:rsidP="00DB55FE">
      <w:pPr>
        <w:rPr>
          <w:color w:val="auto"/>
        </w:rPr>
      </w:pPr>
    </w:p>
    <w:p w14:paraId="5A945E46" w14:textId="552E38E7" w:rsidR="00ED179E" w:rsidRDefault="00ED179E">
      <w:pPr>
        <w:spacing w:line="240" w:lineRule="auto"/>
        <w:rPr>
          <w:color w:val="auto"/>
        </w:rPr>
      </w:pPr>
      <w:r>
        <w:rPr>
          <w:color w:val="auto"/>
        </w:rPr>
        <w:br w:type="page"/>
      </w:r>
    </w:p>
    <w:p w14:paraId="49024D50" w14:textId="77777777" w:rsidR="00ED179E" w:rsidRDefault="00ED179E" w:rsidP="00ED179E">
      <w:pPr>
        <w:rPr>
          <w:b/>
          <w:color w:val="auto"/>
        </w:rPr>
      </w:pPr>
      <w:r>
        <w:rPr>
          <w:b/>
          <w:color w:val="auto"/>
        </w:rPr>
        <w:lastRenderedPageBreak/>
        <w:t xml:space="preserve">Bijlage 2. Technische uitwerking </w:t>
      </w:r>
    </w:p>
    <w:p w14:paraId="785CC602" w14:textId="77777777" w:rsidR="00ED179E" w:rsidRDefault="00ED179E" w:rsidP="00ED179E">
      <w:pPr>
        <w:rPr>
          <w:color w:val="auto"/>
        </w:rPr>
      </w:pPr>
    </w:p>
    <w:p w14:paraId="1A2533AA" w14:textId="77777777" w:rsidR="00ED179E" w:rsidRDefault="00ED179E" w:rsidP="00ED179E">
      <w:pPr>
        <w:rPr>
          <w:i/>
          <w:color w:val="auto"/>
        </w:rPr>
      </w:pPr>
      <w:r>
        <w:rPr>
          <w:i/>
          <w:color w:val="auto"/>
        </w:rPr>
        <w:t>Optie 1: bevriezen van het accres</w:t>
      </w:r>
    </w:p>
    <w:p w14:paraId="203BBAD4" w14:textId="77777777" w:rsidR="00ED179E" w:rsidRDefault="00ED179E" w:rsidP="00ED179E">
      <w:pPr>
        <w:rPr>
          <w:color w:val="auto"/>
        </w:rPr>
      </w:pPr>
      <w:r>
        <w:rPr>
          <w:color w:val="auto"/>
        </w:rPr>
        <w:t>Bij een freeze wordt het accres voor de komende één of twee jaar bevroren op stand van de Voorjaarsnota in het lopend jaar. Ook kan een freeze toegepast worden bij de Miljoenennota in het voorafgaande jaar.</w:t>
      </w:r>
    </w:p>
    <w:p w14:paraId="2E7B2817" w14:textId="77777777" w:rsidR="00ED179E" w:rsidRDefault="00ED179E" w:rsidP="00ED179E">
      <w:pPr>
        <w:rPr>
          <w:color w:val="auto"/>
        </w:rPr>
      </w:pPr>
    </w:p>
    <w:p w14:paraId="45BDC25D" w14:textId="77777777" w:rsidR="00ED179E" w:rsidRDefault="00ED179E" w:rsidP="00ED179E">
      <w:pPr>
        <w:rPr>
          <w:i/>
          <w:color w:val="auto"/>
        </w:rPr>
      </w:pPr>
      <w:r>
        <w:rPr>
          <w:i/>
          <w:color w:val="auto"/>
        </w:rPr>
        <w:t>Optie 2: invoeren van een behoedzaamheidsmarge</w:t>
      </w:r>
    </w:p>
    <w:p w14:paraId="1BD6329E" w14:textId="77777777" w:rsidR="00ED179E" w:rsidRDefault="00ED179E" w:rsidP="00ED179E">
      <w:pPr>
        <w:rPr>
          <w:color w:val="auto"/>
        </w:rPr>
      </w:pPr>
      <w:r>
        <w:rPr>
          <w:color w:val="auto"/>
        </w:rPr>
        <w:t>Bij de MLN2021 wordt bij de raming van het accres een deel van het gemeentefonds achtergehouden in een behoedzaamheidsmarge. Dit deel wordt niet in de bevoorschotting van de algemene uitkering aan gemeenten meegenomen. Aan gemeenten zal worden voorgesteld de behoedzaamheidsmarge niet in de primitieve begroting mee te nemen. Bij de eindafrekening wordt vervolgens de behoedzaamheidsmarge verrekend met deze eindafrekening, waardoor er in de regel een positief bedrag aan accres resteert om aan gemeenten uit te keren.</w:t>
      </w:r>
    </w:p>
    <w:p w14:paraId="0360A028" w14:textId="77777777" w:rsidR="00ED179E" w:rsidRDefault="00ED179E" w:rsidP="00ED179E">
      <w:pPr>
        <w:rPr>
          <w:color w:val="auto"/>
        </w:rPr>
      </w:pPr>
    </w:p>
    <w:p w14:paraId="2CECE052" w14:textId="77777777" w:rsidR="00ED179E" w:rsidRDefault="00ED179E" w:rsidP="00ED179E">
      <w:pPr>
        <w:rPr>
          <w:color w:val="auto"/>
        </w:rPr>
      </w:pPr>
      <w:r>
        <w:rPr>
          <w:color w:val="auto"/>
        </w:rPr>
        <w:t>Daarnaast kan de behoedzaamheidsmarge ook verrekend worden in het lopend jaar, bijvoorbeeld in het geval van een accresdaling bij de Miljoenennota in het lopend jaar. Voor zover de behoedzaamheidsmarge pas bij de eindafrekening bij FJR/VJN wordt ingezet, moet deze via de eindejaarsmarge over de jaargrens meegenomen worden.</w:t>
      </w:r>
    </w:p>
    <w:p w14:paraId="16666FB3" w14:textId="77777777" w:rsidR="00ED179E" w:rsidRDefault="00ED179E" w:rsidP="00ED179E">
      <w:pPr>
        <w:rPr>
          <w:color w:val="auto"/>
        </w:rPr>
      </w:pPr>
    </w:p>
    <w:p w14:paraId="72D7EB8F" w14:textId="77777777" w:rsidR="00ED179E" w:rsidRDefault="00ED179E" w:rsidP="00ED179E">
      <w:pPr>
        <w:rPr>
          <w:color w:val="auto"/>
        </w:rPr>
      </w:pPr>
      <w:r>
        <w:rPr>
          <w:color w:val="auto"/>
        </w:rPr>
        <w:t>Behalve een behoedzaamheidsmarge in het gemeentefonds, is het ook mogelijk gemeenten te verplichten om op hun eigen begroting een behoedzaamheidsmarge op te nemen.</w:t>
      </w:r>
    </w:p>
    <w:p w14:paraId="6074BC5E" w14:textId="77777777" w:rsidR="00ED179E" w:rsidRDefault="00ED179E" w:rsidP="00ED179E">
      <w:pPr>
        <w:rPr>
          <w:color w:val="auto"/>
        </w:rPr>
      </w:pPr>
    </w:p>
    <w:p w14:paraId="796B3FE1" w14:textId="77777777" w:rsidR="00ED179E" w:rsidRDefault="00ED179E" w:rsidP="00ED179E">
      <w:pPr>
        <w:rPr>
          <w:i/>
          <w:color w:val="auto"/>
        </w:rPr>
      </w:pPr>
      <w:r>
        <w:rPr>
          <w:i/>
          <w:color w:val="auto"/>
        </w:rPr>
        <w:t>Optie 3: voorschriften over de omgang met LPO</w:t>
      </w:r>
    </w:p>
    <w:p w14:paraId="227EA3DC" w14:textId="77777777" w:rsidR="00ED179E" w:rsidRDefault="00ED179E" w:rsidP="00ED179E">
      <w:pPr>
        <w:rPr>
          <w:color w:val="auto"/>
        </w:rPr>
      </w:pPr>
      <w:r>
        <w:rPr>
          <w:color w:val="auto"/>
        </w:rPr>
        <w:t>Bijstellingen van het accres als gevolg van LPO kunnen in de gemeentebegroting worden verwerkt, zonder dat dit tot bezuinigingen leidt. Er zouden in het BBV (of de circulaire) mogelijk voorschriften moeten worden opgenomen over de verwerking in de begroting van LPO-effecten in het accres, om daarmee beter te borgen dat LPO-effecten in het accres niet tot bezuinigingen leiden.</w:t>
      </w:r>
    </w:p>
    <w:p w14:paraId="6F60F1FB" w14:textId="77777777" w:rsidR="00ED179E" w:rsidRDefault="00ED179E" w:rsidP="00ED179E">
      <w:pPr>
        <w:rPr>
          <w:color w:val="auto"/>
        </w:rPr>
      </w:pPr>
    </w:p>
    <w:p w14:paraId="753019D3" w14:textId="77777777" w:rsidR="00ED179E" w:rsidRDefault="00ED179E" w:rsidP="00ED179E">
      <w:pPr>
        <w:rPr>
          <w:i/>
          <w:color w:val="auto"/>
        </w:rPr>
      </w:pPr>
      <w:r>
        <w:rPr>
          <w:i/>
          <w:color w:val="auto"/>
        </w:rPr>
        <w:t>Optie 4: kasschuif</w:t>
      </w:r>
    </w:p>
    <w:p w14:paraId="515BA65E" w14:textId="77777777" w:rsidR="00ED179E" w:rsidRDefault="00ED179E" w:rsidP="00ED179E">
      <w:pPr>
        <w:rPr>
          <w:color w:val="auto"/>
        </w:rPr>
      </w:pPr>
      <w:r>
        <w:rPr>
          <w:color w:val="auto"/>
        </w:rPr>
        <w:t>Bij een kasschuif worden accresmiddelen uit later jaren naar voren gehaald.</w:t>
      </w:r>
    </w:p>
    <w:p w14:paraId="440A4196" w14:textId="77777777" w:rsidR="00ED179E" w:rsidRDefault="00ED179E" w:rsidP="00ED179E">
      <w:pPr>
        <w:rPr>
          <w:color w:val="auto"/>
        </w:rPr>
      </w:pPr>
    </w:p>
    <w:p w14:paraId="5882DE60" w14:textId="77777777" w:rsidR="00ED179E" w:rsidRDefault="00ED179E" w:rsidP="00ED179E">
      <w:pPr>
        <w:rPr>
          <w:color w:val="auto"/>
        </w:rPr>
      </w:pPr>
    </w:p>
    <w:p w14:paraId="2F99DC46" w14:textId="77777777" w:rsidR="00ED179E" w:rsidRDefault="00ED179E" w:rsidP="00ED179E">
      <w:pPr>
        <w:rPr>
          <w:color w:val="auto"/>
        </w:rPr>
      </w:pPr>
    </w:p>
    <w:p w14:paraId="6949D779" w14:textId="77777777" w:rsidR="00827FA5" w:rsidRPr="00444712" w:rsidRDefault="00827FA5" w:rsidP="00126AC0">
      <w:pPr>
        <w:rPr>
          <w:color w:val="auto"/>
        </w:rPr>
      </w:pPr>
    </w:p>
    <w:sectPr w:rsidR="00827FA5" w:rsidRPr="00444712" w:rsidSect="00DB55FE">
      <w:headerReference w:type="even" r:id="rId11"/>
      <w:headerReference w:type="default" r:id="rId12"/>
      <w:footerReference w:type="even" r:id="rId13"/>
      <w:footerReference w:type="default" r:id="rId14"/>
      <w:headerReference w:type="first" r:id="rId15"/>
      <w:footerReference w:type="first" r:id="rId16"/>
      <w:pgSz w:w="11905" w:h="16837"/>
      <w:pgMar w:top="3119"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5A578" w14:textId="77777777" w:rsidR="00764786" w:rsidRDefault="00764786">
      <w:pPr>
        <w:spacing w:line="240" w:lineRule="auto"/>
      </w:pPr>
      <w:r>
        <w:separator/>
      </w:r>
    </w:p>
  </w:endnote>
  <w:endnote w:type="continuationSeparator" w:id="0">
    <w:p w14:paraId="6D3C6A54" w14:textId="77777777" w:rsidR="00764786" w:rsidRDefault="00764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nivers LT St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A63E" w14:textId="77777777" w:rsidR="00FE3B76" w:rsidRDefault="00FE3B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FBF2" w14:textId="77777777" w:rsidR="00FE3B76" w:rsidRDefault="00FE3B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EB9E" w14:textId="77777777" w:rsidR="00DD3F05" w:rsidRDefault="00DD3F05">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5311" w14:textId="77777777" w:rsidR="00764786" w:rsidRDefault="00764786">
      <w:pPr>
        <w:spacing w:line="240" w:lineRule="auto"/>
      </w:pPr>
      <w:r>
        <w:separator/>
      </w:r>
    </w:p>
  </w:footnote>
  <w:footnote w:type="continuationSeparator" w:id="0">
    <w:p w14:paraId="26C185F4" w14:textId="77777777" w:rsidR="00764786" w:rsidRDefault="00764786">
      <w:pPr>
        <w:spacing w:line="240" w:lineRule="auto"/>
      </w:pPr>
      <w:r>
        <w:continuationSeparator/>
      </w:r>
    </w:p>
  </w:footnote>
  <w:footnote w:id="1">
    <w:p w14:paraId="2E7C0624" w14:textId="345B6181" w:rsidR="00E5348E" w:rsidRPr="00095524" w:rsidRDefault="00E5348E" w:rsidP="00095524">
      <w:pPr>
        <w:pStyle w:val="Voetnoottekst"/>
        <w:spacing w:line="220" w:lineRule="exact"/>
        <w:rPr>
          <w:color w:val="auto"/>
          <w:sz w:val="16"/>
          <w:szCs w:val="16"/>
        </w:rPr>
      </w:pPr>
      <w:r w:rsidRPr="00095524">
        <w:rPr>
          <w:color w:val="auto"/>
          <w:sz w:val="16"/>
          <w:szCs w:val="16"/>
          <w:vertAlign w:val="superscript"/>
        </w:rPr>
        <w:footnoteRef/>
      </w:r>
      <w:r w:rsidRPr="00095524">
        <w:rPr>
          <w:color w:val="auto"/>
          <w:sz w:val="16"/>
          <w:szCs w:val="16"/>
          <w:vertAlign w:val="superscript"/>
        </w:rPr>
        <w:t xml:space="preserve"> </w:t>
      </w:r>
      <w:r w:rsidR="00F27C7A" w:rsidRPr="00095524">
        <w:rPr>
          <w:color w:val="auto"/>
          <w:sz w:val="16"/>
          <w:szCs w:val="16"/>
        </w:rPr>
        <w:t>Tweede Kamer, vergaderjaar 2018 – 2019, 35 200</w:t>
      </w:r>
      <w:r w:rsidR="00095524" w:rsidRPr="00095524">
        <w:rPr>
          <w:color w:val="auto"/>
          <w:sz w:val="16"/>
          <w:szCs w:val="16"/>
        </w:rPr>
        <w:t xml:space="preserve"> VII, nr. 12</w:t>
      </w:r>
    </w:p>
  </w:footnote>
  <w:footnote w:id="2">
    <w:p w14:paraId="670462BA" w14:textId="558A7028" w:rsidR="00E5348E" w:rsidRPr="00095524" w:rsidRDefault="00E5348E" w:rsidP="00095524">
      <w:pPr>
        <w:pStyle w:val="Voetnoottekst"/>
        <w:spacing w:line="220" w:lineRule="exact"/>
        <w:rPr>
          <w:color w:val="auto"/>
          <w:sz w:val="16"/>
          <w:szCs w:val="16"/>
        </w:rPr>
      </w:pPr>
      <w:r w:rsidRPr="00095524">
        <w:rPr>
          <w:color w:val="auto"/>
          <w:sz w:val="16"/>
          <w:szCs w:val="16"/>
          <w:vertAlign w:val="superscript"/>
        </w:rPr>
        <w:footnoteRef/>
      </w:r>
      <w:r w:rsidR="00F27C7A" w:rsidRPr="00095524">
        <w:rPr>
          <w:color w:val="auto"/>
          <w:sz w:val="16"/>
          <w:szCs w:val="16"/>
          <w:vertAlign w:val="superscript"/>
        </w:rPr>
        <w:t xml:space="preserve"> </w:t>
      </w:r>
      <w:r w:rsidR="00F27C7A" w:rsidRPr="00095524">
        <w:rPr>
          <w:color w:val="auto"/>
          <w:sz w:val="16"/>
          <w:szCs w:val="16"/>
        </w:rPr>
        <w:t xml:space="preserve">Tweede Kamer, vergaderjaar 2019 – 2020, 35 300, nr. 23 </w:t>
      </w:r>
    </w:p>
  </w:footnote>
  <w:footnote w:id="3">
    <w:p w14:paraId="75305FD6" w14:textId="77777777" w:rsidR="00ED179E" w:rsidRDefault="00ED179E" w:rsidP="00ED179E">
      <w:pPr>
        <w:pStyle w:val="Voetnoottekst"/>
      </w:pPr>
      <w:r>
        <w:rPr>
          <w:color w:val="auto"/>
          <w:sz w:val="16"/>
          <w:szCs w:val="16"/>
          <w:vertAlign w:val="superscript"/>
        </w:rPr>
        <w:footnoteRef/>
      </w:r>
      <w:r>
        <w:rPr>
          <w:color w:val="auto"/>
          <w:sz w:val="16"/>
          <w:szCs w:val="16"/>
          <w:vertAlign w:val="superscript"/>
        </w:rPr>
        <w:t xml:space="preserve"> </w:t>
      </w:r>
      <w:r>
        <w:rPr>
          <w:color w:val="auto"/>
          <w:sz w:val="16"/>
          <w:szCs w:val="16"/>
        </w:rPr>
        <w:t>Zoals vastgelegd in het interbestuurlijk programma van 14 februari 2018</w:t>
      </w:r>
    </w:p>
  </w:footnote>
  <w:footnote w:id="4">
    <w:p w14:paraId="2E4C56A2" w14:textId="1B31FD05" w:rsidR="004C3AC3" w:rsidRDefault="004C3AC3" w:rsidP="00095524">
      <w:pPr>
        <w:pStyle w:val="Voetnoottekst"/>
        <w:spacing w:line="220" w:lineRule="exact"/>
      </w:pPr>
      <w:r w:rsidRPr="00095524">
        <w:rPr>
          <w:color w:val="auto"/>
          <w:sz w:val="16"/>
          <w:szCs w:val="16"/>
          <w:vertAlign w:val="superscript"/>
        </w:rPr>
        <w:footnoteRef/>
      </w:r>
      <w:r w:rsidRPr="00095524">
        <w:rPr>
          <w:color w:val="auto"/>
          <w:sz w:val="16"/>
          <w:szCs w:val="16"/>
        </w:rPr>
        <w:t xml:space="preserve"> </w:t>
      </w:r>
      <w:r w:rsidR="0073705C">
        <w:rPr>
          <w:color w:val="auto"/>
          <w:sz w:val="16"/>
          <w:szCs w:val="16"/>
        </w:rPr>
        <w:t>D</w:t>
      </w:r>
      <w:r w:rsidRPr="00095524">
        <w:rPr>
          <w:color w:val="auto"/>
          <w:sz w:val="16"/>
          <w:szCs w:val="16"/>
        </w:rPr>
        <w:t>e</w:t>
      </w:r>
      <w:r w:rsidR="0073705C">
        <w:rPr>
          <w:color w:val="auto"/>
          <w:sz w:val="16"/>
          <w:szCs w:val="16"/>
        </w:rPr>
        <w:t xml:space="preserve"> fondsbeheerders zijn de</w:t>
      </w:r>
      <w:r w:rsidRPr="00095524">
        <w:rPr>
          <w:color w:val="auto"/>
          <w:sz w:val="16"/>
          <w:szCs w:val="16"/>
        </w:rPr>
        <w:t xml:space="preserve"> minister van Binnenlandse Zaken en Koninkrijksrelaties en </w:t>
      </w:r>
      <w:r w:rsidR="00095524">
        <w:rPr>
          <w:color w:val="auto"/>
          <w:sz w:val="16"/>
          <w:szCs w:val="16"/>
        </w:rPr>
        <w:t xml:space="preserve">de </w:t>
      </w:r>
      <w:r w:rsidRPr="00095524">
        <w:rPr>
          <w:color w:val="auto"/>
          <w:sz w:val="16"/>
          <w:szCs w:val="16"/>
        </w:rPr>
        <w:t>staatssecretaris van Financiën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8B10" w14:textId="77777777" w:rsidR="00FE3B76" w:rsidRDefault="00FE3B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BBBC" w14:textId="77777777" w:rsidR="00DD3F05" w:rsidRDefault="00DD3F05">
    <w:pPr>
      <w:pStyle w:val="MarginlessContainer"/>
    </w:pPr>
    <w:r>
      <w:rPr>
        <w:noProof/>
      </w:rPr>
      <mc:AlternateContent>
        <mc:Choice Requires="wps">
          <w:drawing>
            <wp:anchor distT="0" distB="0" distL="0" distR="0" simplePos="0" relativeHeight="251650560" behindDoc="0" locked="1" layoutInCell="1" allowOverlap="1" wp14:anchorId="75904009" wp14:editId="39F57D39">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5781589D" w14:textId="77777777" w:rsidR="00DD3F05" w:rsidRDefault="00DD3F05"/>
                      </w:txbxContent>
                    </wps:txbx>
                    <wps:bodyPr vert="horz" wrap="square" lIns="0" tIns="0" rIns="0" bIns="0" anchor="t" anchorCtr="0"/>
                  </wps:wsp>
                </a:graphicData>
              </a:graphic>
            </wp:anchor>
          </w:drawing>
        </mc:Choice>
        <mc:Fallback>
          <w:pict>
            <v:shapetype w14:anchorId="75904009"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14:paraId="5781589D" w14:textId="77777777" w:rsidR="00DD3F05" w:rsidRDefault="00DD3F05"/>
                </w:txbxContent>
              </v:textbox>
              <w10:wrap anchorx="page" anchory="page"/>
              <w10:anchorlock/>
            </v:shape>
          </w:pict>
        </mc:Fallback>
      </mc:AlternateContent>
    </w:r>
    <w:r>
      <w:rPr>
        <w:noProof/>
      </w:rPr>
      <mc:AlternateContent>
        <mc:Choice Requires="wps">
          <w:drawing>
            <wp:anchor distT="0" distB="0" distL="0" distR="0" simplePos="0" relativeHeight="251651584" behindDoc="0" locked="1" layoutInCell="1" allowOverlap="1" wp14:anchorId="19D1D98A" wp14:editId="229330D7">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38D7D34A" w14:textId="6C3658A6" w:rsidR="00DD3F05" w:rsidRDefault="00DD3F05">
                          <w:pPr>
                            <w:pStyle w:val="Referentiegegevens"/>
                          </w:pPr>
                          <w:r>
                            <w:t xml:space="preserve">Pagina </w:t>
                          </w:r>
                          <w:r>
                            <w:fldChar w:fldCharType="begin"/>
                          </w:r>
                          <w:r>
                            <w:instrText>PAGE</w:instrText>
                          </w:r>
                          <w:r>
                            <w:fldChar w:fldCharType="separate"/>
                          </w:r>
                          <w:r w:rsidR="001C5881">
                            <w:rPr>
                              <w:noProof/>
                            </w:rPr>
                            <w:t>4</w:t>
                          </w:r>
                          <w:r>
                            <w:fldChar w:fldCharType="end"/>
                          </w:r>
                          <w:r>
                            <w:t xml:space="preserve"> van </w:t>
                          </w:r>
                          <w:r>
                            <w:fldChar w:fldCharType="begin"/>
                          </w:r>
                          <w:r>
                            <w:instrText>NUMPAGES</w:instrText>
                          </w:r>
                          <w:r>
                            <w:fldChar w:fldCharType="separate"/>
                          </w:r>
                          <w:r w:rsidR="001C5881">
                            <w:rPr>
                              <w:noProof/>
                            </w:rPr>
                            <w:t>5</w:t>
                          </w:r>
                          <w:r>
                            <w:fldChar w:fldCharType="end"/>
                          </w:r>
                        </w:p>
                      </w:txbxContent>
                    </wps:txbx>
                    <wps:bodyPr vert="horz" wrap="square" lIns="0" tIns="0" rIns="0" bIns="0" anchor="t" anchorCtr="0"/>
                  </wps:wsp>
                </a:graphicData>
              </a:graphic>
            </wp:anchor>
          </w:drawing>
        </mc:Choice>
        <mc:Fallback>
          <w:pict>
            <v:shape w14:anchorId="19D1D98A" id="Paginanummer vervolgpagina" o:spid="_x0000_s1027" type="#_x0000_t202" style="position:absolute;margin-left:467.1pt;margin-top:805pt;width:98.25pt;height:11.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14:paraId="38D7D34A" w14:textId="6C3658A6" w:rsidR="00DD3F05" w:rsidRDefault="00DD3F05">
                    <w:pPr>
                      <w:pStyle w:val="Referentiegegevens"/>
                    </w:pPr>
                    <w:r>
                      <w:t xml:space="preserve">Pagina </w:t>
                    </w:r>
                    <w:r>
                      <w:fldChar w:fldCharType="begin"/>
                    </w:r>
                    <w:r>
                      <w:instrText>PAGE</w:instrText>
                    </w:r>
                    <w:r>
                      <w:fldChar w:fldCharType="separate"/>
                    </w:r>
                    <w:r w:rsidR="001C5881">
                      <w:rPr>
                        <w:noProof/>
                      </w:rPr>
                      <w:t>4</w:t>
                    </w:r>
                    <w:r>
                      <w:fldChar w:fldCharType="end"/>
                    </w:r>
                    <w:r>
                      <w:t xml:space="preserve"> van </w:t>
                    </w:r>
                    <w:r>
                      <w:fldChar w:fldCharType="begin"/>
                    </w:r>
                    <w:r>
                      <w:instrText>NUMPAGES</w:instrText>
                    </w:r>
                    <w:r>
                      <w:fldChar w:fldCharType="separate"/>
                    </w:r>
                    <w:r w:rsidR="001C5881">
                      <w:rPr>
                        <w:noProof/>
                      </w:rPr>
                      <w:t>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3C57A4E" wp14:editId="49F1BFC7">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0876AC4" w14:textId="77777777" w:rsidR="00DD3F05" w:rsidRDefault="00DD3F05">
                          <w:pPr>
                            <w:pStyle w:val="WitregelW1"/>
                          </w:pPr>
                        </w:p>
                      </w:txbxContent>
                    </wps:txbx>
                    <wps:bodyPr vert="horz" wrap="square" lIns="0" tIns="0" rIns="0" bIns="0" anchor="t" anchorCtr="0"/>
                  </wps:wsp>
                </a:graphicData>
              </a:graphic>
            </wp:anchor>
          </w:drawing>
        </mc:Choice>
        <mc:Fallback>
          <w:pict>
            <v:shape w14:anchorId="03C57A4E" id="Colofon vervolgpagina" o:spid="_x0000_s1028" type="#_x0000_t202" style="position:absolute;margin-left:467.1pt;margin-top:151.65pt;width:98.2pt;height:636.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14:paraId="40876AC4" w14:textId="77777777" w:rsidR="00DD3F05" w:rsidRDefault="00DD3F05">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570D08" wp14:editId="589BE0A5">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0C1FA6A7" w14:textId="77777777" w:rsidR="00DD3F05" w:rsidRDefault="00DD3F05"/>
                      </w:txbxContent>
                    </wps:txbx>
                    <wps:bodyPr vert="horz" wrap="square" lIns="0" tIns="0" rIns="0" bIns="0" anchor="t" anchorCtr="0"/>
                  </wps:wsp>
                </a:graphicData>
              </a:graphic>
            </wp:anchor>
          </w:drawing>
        </mc:Choice>
        <mc:Fallback>
          <w:pict>
            <v:shape w14:anchorId="5A570D08" id="Rubricering boven vervolgpagina" o:spid="_x0000_s1029" type="#_x0000_t202" style="position:absolute;margin-left:79.35pt;margin-top:151.65pt;width:263.2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14:paraId="0C1FA6A7" w14:textId="77777777" w:rsidR="00DD3F05" w:rsidRDefault="00DD3F0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5BF3" w14:textId="0E72A784" w:rsidR="00DD3F05" w:rsidRDefault="000529E8">
    <w:pPr>
      <w:pStyle w:val="MarginlessContainer"/>
      <w:spacing w:after="7222" w:line="14" w:lineRule="exact"/>
    </w:pPr>
    <w:r>
      <w:rPr>
        <w:noProof/>
      </w:rPr>
      <mc:AlternateContent>
        <mc:Choice Requires="wps">
          <w:drawing>
            <wp:anchor distT="0" distB="0" distL="0" distR="0" simplePos="0" relativeHeight="251663872" behindDoc="0" locked="1" layoutInCell="1" allowOverlap="1" wp14:anchorId="52605196" wp14:editId="326488C2">
              <wp:simplePos x="0" y="0"/>
              <wp:positionH relativeFrom="page">
                <wp:posOffset>1010285</wp:posOffset>
              </wp:positionH>
              <wp:positionV relativeFrom="page">
                <wp:posOffset>1701800</wp:posOffset>
              </wp:positionV>
              <wp:extent cx="4319905" cy="107950"/>
              <wp:effectExtent l="0" t="0" r="0" b="0"/>
              <wp:wrapNone/>
              <wp:docPr id="1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509BC4A7" w14:textId="77777777" w:rsidR="000529E8" w:rsidRDefault="000529E8" w:rsidP="000529E8">
                          <w:pPr>
                            <w:pStyle w:val="Referentiegegevens"/>
                          </w:pPr>
                          <w:r>
                            <w:t>&gt; Retouradres Postbus 20011 2500 EA  Den Haag</w:t>
                          </w:r>
                        </w:p>
                      </w:txbxContent>
                    </wps:txbx>
                    <wps:bodyPr vert="horz" wrap="square" lIns="0" tIns="0" rIns="0" bIns="0" anchor="t" anchorCtr="0"/>
                  </wps:wsp>
                </a:graphicData>
              </a:graphic>
            </wp:anchor>
          </w:drawing>
        </mc:Choice>
        <mc:Fallback>
          <w:pict>
            <v:shapetype w14:anchorId="52605196" id="_x0000_t202" coordsize="21600,21600" o:spt="202" path="m,l,21600r21600,l21600,xe">
              <v:stroke joinstyle="miter"/>
              <v:path gradientshapeok="t" o:connecttype="rect"/>
            </v:shapetype>
            <v:shape id="Retouradres" o:spid="_x0000_s1030" type="#_x0000_t202" style="position:absolute;margin-left:79.55pt;margin-top:134pt;width:340.15pt;height:8.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" filled="f" stroked="f">
              <v:textbox inset="0,0,0,0">
                <w:txbxContent>
                  <w:p w14:paraId="509BC4A7" w14:textId="77777777" w:rsidR="000529E8" w:rsidRDefault="000529E8" w:rsidP="000529E8">
                    <w:pPr>
                      <w:pStyle w:val="Referentiegegevens"/>
                    </w:pPr>
                    <w:r>
                      <w:t>&gt; Retouradres Postbus 20011 2500 EA  Den Haag</w:t>
                    </w:r>
                  </w:p>
                </w:txbxContent>
              </v:textbox>
              <w10:wrap anchorx="page" anchory="page"/>
              <w10:anchorlock/>
            </v:shape>
          </w:pict>
        </mc:Fallback>
      </mc:AlternateContent>
    </w:r>
    <w:r w:rsidR="00DD3F05">
      <w:rPr>
        <w:noProof/>
      </w:rPr>
      <mc:AlternateContent>
        <mc:Choice Requires="wps">
          <w:drawing>
            <wp:anchor distT="0" distB="0" distL="0" distR="0" simplePos="0" relativeHeight="251654656" behindDoc="0" locked="1" layoutInCell="1" allowOverlap="1" wp14:anchorId="6EFE9E19" wp14:editId="39041E3E">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48EF38" w14:textId="77777777" w:rsidR="00DD3F05" w:rsidRDefault="00DD3F05"/>
                      </w:txbxContent>
                    </wps:txbx>
                    <wps:bodyPr vert="horz" wrap="square" lIns="0" tIns="0" rIns="0" bIns="0" anchor="t" anchorCtr="0"/>
                  </wps:wsp>
                </a:graphicData>
              </a:graphic>
            </wp:anchor>
          </w:drawing>
        </mc:Choice>
        <mc:Fallback>
          <w:pict>
            <v:shape w14:anchorId="6EFE9E19" id="Logo" o:spid="_x0000_s1031" type="#_x0000_t202" style="position:absolute;margin-left:279.2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DUA7gqmAQAAMwMAAA4AAAAAAAAAAAAAAAAALgIAAGRycy9lMm9Eb2MueG1sUEsBAi0AFAAG&#10;AAgAAAAhAKcD5i7eAAAACAEAAA8AAAAAAAAAAAAAAAAAAAQAAGRycy9kb3ducmV2LnhtbFBLBQYA&#10;AAAABAAEAPMAAAALBQAAAAA=&#10;" filled="f" stroked="f">
              <v:textbox inset="0,0,0,0">
                <w:txbxContent>
                  <w:p w14:paraId="1D48EF38" w14:textId="77777777" w:rsidR="00DD3F05" w:rsidRDefault="00DD3F05"/>
                </w:txbxContent>
              </v:textbox>
              <w10:wrap anchorx="page" anchory="page"/>
              <w10:anchorlock/>
            </v:shape>
          </w:pict>
        </mc:Fallback>
      </mc:AlternateContent>
    </w:r>
    <w:r w:rsidR="00DD3F05">
      <w:rPr>
        <w:noProof/>
      </w:rPr>
      <mc:AlternateContent>
        <mc:Choice Requires="wps">
          <w:drawing>
            <wp:anchor distT="0" distB="0" distL="0" distR="0" simplePos="0" relativeHeight="251655680" behindDoc="0" locked="1" layoutInCell="1" allowOverlap="1" wp14:anchorId="6E08FF6C" wp14:editId="6A3BB656">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5D5BC7" w14:textId="77777777" w:rsidR="00DD3F05" w:rsidRDefault="00DD3F05">
                          <w:pPr>
                            <w:pStyle w:val="MarginlessContainer"/>
                          </w:pPr>
                          <w:r>
                            <w:rPr>
                              <w:noProof/>
                            </w:rPr>
                            <w:drawing>
                              <wp:inline distT="0" distB="0" distL="0" distR="0" wp14:anchorId="71D09F66" wp14:editId="6B7FF374">
                                <wp:extent cx="2339975" cy="1582834"/>
                                <wp:effectExtent l="0" t="0" r="0" b="0"/>
                                <wp:docPr id="3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08FF6C" id="Woordmerk" o:spid="_x0000_s1032" type="#_x0000_t202" style="position:absolute;margin-left:316.05pt;margin-top:0;width:184.2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Z/M8KsBAAA5AwAADgAAAAAAAAAAAAAAAAAuAgAAZHJzL2Uyb0RvYy54bWxQSwEC&#10;LQAUAAYACAAAACEAzkuwit4AAAAJAQAADwAAAAAAAAAAAAAAAAAFBAAAZHJzL2Rvd25yZXYueG1s&#10;UEsFBgAAAAAEAAQA8wAAABAFAAAAAA==&#10;" filled="f" stroked="f">
              <v:textbox inset="0,0,0,0">
                <w:txbxContent>
                  <w:p w14:paraId="3E5D5BC7" w14:textId="77777777" w:rsidR="00DD3F05" w:rsidRDefault="00DD3F05">
                    <w:pPr>
                      <w:pStyle w:val="MarginlessContainer"/>
                    </w:pPr>
                    <w:r>
                      <w:rPr>
                        <w:noProof/>
                      </w:rPr>
                      <w:drawing>
                        <wp:inline distT="0" distB="0" distL="0" distR="0" wp14:anchorId="71D09F66" wp14:editId="6B7FF374">
                          <wp:extent cx="2339975" cy="1582834"/>
                          <wp:effectExtent l="0" t="0" r="0" b="0"/>
                          <wp:docPr id="3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DD3F05">
      <w:rPr>
        <w:noProof/>
      </w:rPr>
      <mc:AlternateContent>
        <mc:Choice Requires="wps">
          <w:drawing>
            <wp:anchor distT="0" distB="0" distL="0" distR="0" simplePos="0" relativeHeight="251656704" behindDoc="0" locked="1" layoutInCell="1" allowOverlap="1" wp14:anchorId="0FCEF4DC" wp14:editId="119459D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18C0CB94" w14:textId="77777777" w:rsidR="00DD3F05" w:rsidRDefault="00DD3F05"/>
                      </w:txbxContent>
                    </wps:txbx>
                    <wps:bodyPr vert="horz" wrap="square" lIns="0" tIns="0" rIns="0" bIns="0" anchor="t" anchorCtr="0"/>
                  </wps:wsp>
                </a:graphicData>
              </a:graphic>
            </wp:anchor>
          </w:drawing>
        </mc:Choice>
        <mc:Fallback>
          <w:pict>
            <v:shape w14:anchorId="0FCEF4DC" id="_x0000_s1033" type="#_x0000_t202" style="position:absolute;margin-left:79.35pt;margin-top:136.05pt;width:340.15pt;height: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N4oI2erAQAAOgMAAA4AAAAAAAAAAAAAAAAALgIAAGRycy9lMm9Eb2MueG1sUEsB&#10;Ai0AFAAGAAgAAAAhAMY91u/fAAAACwEAAA8AAAAAAAAAAAAAAAAABQQAAGRycy9kb3ducmV2Lnht&#10;bFBLBQYAAAAABAAEAPMAAAARBQAAAAA=&#10;" filled="f" stroked="f">
              <v:textbox inset="0,0,0,0">
                <w:txbxContent>
                  <w:p w14:paraId="18C0CB94" w14:textId="77777777" w:rsidR="00DD3F05" w:rsidRDefault="00DD3F05"/>
                </w:txbxContent>
              </v:textbox>
              <w10:wrap anchorx="page" anchory="page"/>
              <w10:anchorlock/>
            </v:shape>
          </w:pict>
        </mc:Fallback>
      </mc:AlternateContent>
    </w:r>
    <w:r w:rsidR="00DD3F05">
      <w:rPr>
        <w:noProof/>
      </w:rPr>
      <mc:AlternateContent>
        <mc:Choice Requires="wps">
          <w:drawing>
            <wp:anchor distT="0" distB="0" distL="0" distR="0" simplePos="0" relativeHeight="251657728" behindDoc="0" locked="1" layoutInCell="1" allowOverlap="1" wp14:anchorId="03465BC1" wp14:editId="3D3AB0C3">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D58085A" w14:textId="77777777" w:rsidR="000529E8" w:rsidRPr="00B456CA" w:rsidRDefault="000529E8" w:rsidP="000F6E99">
                          <w:r w:rsidRPr="00B456CA">
                            <w:t>Aan de Voorzitter van de Tweede Kamer</w:t>
                          </w:r>
                          <w:r w:rsidRPr="00B456CA">
                            <w:br/>
                            <w:t>der Staten-Generaal</w:t>
                          </w:r>
                          <w:r w:rsidRPr="00B456CA">
                            <w:br/>
                            <w:t>Postbus 20018</w:t>
                          </w:r>
                          <w:r w:rsidRPr="00B456CA">
                            <w:br/>
                            <w:t>2500 EA  DEN HAAG</w:t>
                          </w:r>
                        </w:p>
                        <w:p w14:paraId="154541D6" w14:textId="77F44419" w:rsidR="00DD3F05" w:rsidRDefault="00DD3F05">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03465BC1" id="Toezendgegevens" o:spid="_x0000_s1034" type="#_x0000_t202" style="position:absolute;margin-left:79.35pt;margin-top:154.95pt;width:263.95pt;height:93.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" filled="f" stroked="f">
              <v:textbox inset="0,0,0,0">
                <w:txbxContent>
                  <w:p w14:paraId="5D58085A" w14:textId="77777777" w:rsidR="000529E8" w:rsidRPr="00B456CA" w:rsidRDefault="000529E8" w:rsidP="000F6E99">
                    <w:r w:rsidRPr="00B456CA">
                      <w:t>Aan de Voorzitter van de Tweede Kamer</w:t>
                    </w:r>
                    <w:r w:rsidRPr="00B456CA">
                      <w:br/>
                      <w:t>der Staten-Generaal</w:t>
                    </w:r>
                    <w:r w:rsidRPr="00B456CA">
                      <w:br/>
                      <w:t>Postbus 20018</w:t>
                    </w:r>
                    <w:r w:rsidRPr="00B456CA">
                      <w:br/>
                      <w:t>2500 EA  DEN HAAG</w:t>
                    </w:r>
                  </w:p>
                  <w:p w14:paraId="154541D6" w14:textId="77F44419" w:rsidR="00DD3F05" w:rsidRDefault="00DD3F05">
                    <w:r>
                      <w:fldChar w:fldCharType="begin"/>
                    </w:r>
                    <w:r>
                      <w:instrText xml:space="preserve"> DOCPROPERTY  "Aan"  \* MERGEFORMAT </w:instrText>
                    </w:r>
                    <w:r>
                      <w:fldChar w:fldCharType="end"/>
                    </w:r>
                  </w:p>
                </w:txbxContent>
              </v:textbox>
              <w10:wrap anchorx="page" anchory="page"/>
              <w10:anchorlock/>
            </v:shape>
          </w:pict>
        </mc:Fallback>
      </mc:AlternateContent>
    </w:r>
    <w:r w:rsidR="00DD3F05">
      <w:rPr>
        <w:noProof/>
      </w:rPr>
      <mc:AlternateContent>
        <mc:Choice Requires="wps">
          <w:drawing>
            <wp:anchor distT="0" distB="0" distL="0" distR="0" simplePos="0" relativeHeight="251658752" behindDoc="0" locked="1" layoutInCell="1" allowOverlap="1" wp14:anchorId="0F9C04C8" wp14:editId="6F703243">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D3F05" w14:paraId="6B4A7FC7" w14:textId="77777777">
                            <w:trPr>
                              <w:trHeight w:val="200"/>
                            </w:trPr>
                            <w:tc>
                              <w:tcPr>
                                <w:tcW w:w="1140" w:type="dxa"/>
                              </w:tcPr>
                              <w:p w14:paraId="71AEFEA0" w14:textId="77777777" w:rsidR="00DD3F05" w:rsidRDefault="00DD3F05"/>
                            </w:tc>
                            <w:tc>
                              <w:tcPr>
                                <w:tcW w:w="5918" w:type="dxa"/>
                              </w:tcPr>
                              <w:p w14:paraId="616B4532" w14:textId="77777777" w:rsidR="00DD3F05" w:rsidRDefault="00DD3F05"/>
                            </w:tc>
                          </w:tr>
                          <w:tr w:rsidR="00DD3F05" w14:paraId="13220E01" w14:textId="77777777">
                            <w:trPr>
                              <w:trHeight w:val="300"/>
                            </w:trPr>
                            <w:tc>
                              <w:tcPr>
                                <w:tcW w:w="1140" w:type="dxa"/>
                              </w:tcPr>
                              <w:p w14:paraId="2414F5B9" w14:textId="77777777" w:rsidR="00DD3F05" w:rsidRDefault="00DD3F05">
                                <w:r>
                                  <w:t>Datum</w:t>
                                </w:r>
                              </w:p>
                            </w:tc>
                            <w:tc>
                              <w:tcPr>
                                <w:tcW w:w="5918" w:type="dxa"/>
                              </w:tcPr>
                              <w:p w14:paraId="53237A92" w14:textId="47374243" w:rsidR="00DD3F05" w:rsidRDefault="005C1F45">
                                <w:pPr>
                                  <w:pStyle w:val="Gegevensdocument"/>
                                </w:pPr>
                                <w:r>
                                  <w:t>18 december 2019</w:t>
                                </w:r>
                              </w:p>
                            </w:tc>
                          </w:tr>
                          <w:tr w:rsidR="00DD3F05" w14:paraId="2AD2F70A" w14:textId="77777777">
                            <w:trPr>
                              <w:trHeight w:val="300"/>
                            </w:trPr>
                            <w:tc>
                              <w:tcPr>
                                <w:tcW w:w="1140" w:type="dxa"/>
                              </w:tcPr>
                              <w:p w14:paraId="1C800379" w14:textId="77777777" w:rsidR="00DD3F05" w:rsidRDefault="00DD3F05">
                                <w:r>
                                  <w:t>Betreft</w:t>
                                </w:r>
                              </w:p>
                            </w:tc>
                            <w:tc>
                              <w:tcPr>
                                <w:tcW w:w="5918" w:type="dxa"/>
                              </w:tcPr>
                              <w:p w14:paraId="7611FAE4" w14:textId="77777777" w:rsidR="00DD3F05" w:rsidRDefault="000529E8">
                                <w:r>
                                  <w:t>Voorstellen samen trap-op, samen trap-af</w:t>
                                </w:r>
                              </w:p>
                            </w:tc>
                          </w:tr>
                          <w:tr w:rsidR="00DD3F05" w14:paraId="55FFC693" w14:textId="77777777">
                            <w:trPr>
                              <w:trHeight w:val="200"/>
                            </w:trPr>
                            <w:tc>
                              <w:tcPr>
                                <w:tcW w:w="1140" w:type="dxa"/>
                              </w:tcPr>
                              <w:p w14:paraId="7A5BF7FF" w14:textId="77777777" w:rsidR="00DD3F05" w:rsidRDefault="00DD3F05"/>
                            </w:tc>
                            <w:tc>
                              <w:tcPr>
                                <w:tcW w:w="5918" w:type="dxa"/>
                              </w:tcPr>
                              <w:p w14:paraId="3545E8C6" w14:textId="77777777" w:rsidR="00DD3F05" w:rsidRDefault="00DD3F05"/>
                            </w:tc>
                          </w:tr>
                        </w:tbl>
                        <w:p w14:paraId="5071DCA7" w14:textId="77777777" w:rsidR="00DD3F05" w:rsidRDefault="00DD3F05"/>
                      </w:txbxContent>
                    </wps:txbx>
                    <wps:bodyPr vert="horz" wrap="square" lIns="0" tIns="0" rIns="0" bIns="0" anchor="t" anchorCtr="0"/>
                  </wps:wsp>
                </a:graphicData>
              </a:graphic>
            </wp:anchor>
          </w:drawing>
        </mc:Choice>
        <mc:Fallback>
          <w:pict>
            <v:shape w14:anchorId="0F9C04C8" id="Documenteigenschappen" o:spid="_x0000_s1035" type="#_x0000_t202" style="position:absolute;margin-left:79.35pt;margin-top:293.35pt;width:374.95pt;height:6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m5B6p6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DD3F05" w14:paraId="6B4A7FC7" w14:textId="77777777">
                      <w:trPr>
                        <w:trHeight w:val="200"/>
                      </w:trPr>
                      <w:tc>
                        <w:tcPr>
                          <w:tcW w:w="1140" w:type="dxa"/>
                        </w:tcPr>
                        <w:p w14:paraId="71AEFEA0" w14:textId="77777777" w:rsidR="00DD3F05" w:rsidRDefault="00DD3F05"/>
                      </w:tc>
                      <w:tc>
                        <w:tcPr>
                          <w:tcW w:w="5918" w:type="dxa"/>
                        </w:tcPr>
                        <w:p w14:paraId="616B4532" w14:textId="77777777" w:rsidR="00DD3F05" w:rsidRDefault="00DD3F05"/>
                      </w:tc>
                    </w:tr>
                    <w:tr w:rsidR="00DD3F05" w14:paraId="13220E01" w14:textId="77777777">
                      <w:trPr>
                        <w:trHeight w:val="300"/>
                      </w:trPr>
                      <w:tc>
                        <w:tcPr>
                          <w:tcW w:w="1140" w:type="dxa"/>
                        </w:tcPr>
                        <w:p w14:paraId="2414F5B9" w14:textId="77777777" w:rsidR="00DD3F05" w:rsidRDefault="00DD3F05">
                          <w:r>
                            <w:t>Datum</w:t>
                          </w:r>
                        </w:p>
                      </w:tc>
                      <w:tc>
                        <w:tcPr>
                          <w:tcW w:w="5918" w:type="dxa"/>
                        </w:tcPr>
                        <w:p w14:paraId="53237A92" w14:textId="47374243" w:rsidR="00DD3F05" w:rsidRDefault="005C1F45">
                          <w:pPr>
                            <w:pStyle w:val="Gegevensdocument"/>
                          </w:pPr>
                          <w:r>
                            <w:t>18 december 2019</w:t>
                          </w:r>
                        </w:p>
                      </w:tc>
                    </w:tr>
                    <w:tr w:rsidR="00DD3F05" w14:paraId="2AD2F70A" w14:textId="77777777">
                      <w:trPr>
                        <w:trHeight w:val="300"/>
                      </w:trPr>
                      <w:tc>
                        <w:tcPr>
                          <w:tcW w:w="1140" w:type="dxa"/>
                        </w:tcPr>
                        <w:p w14:paraId="1C800379" w14:textId="77777777" w:rsidR="00DD3F05" w:rsidRDefault="00DD3F05">
                          <w:r>
                            <w:t>Betreft</w:t>
                          </w:r>
                        </w:p>
                      </w:tc>
                      <w:tc>
                        <w:tcPr>
                          <w:tcW w:w="5918" w:type="dxa"/>
                        </w:tcPr>
                        <w:p w14:paraId="7611FAE4" w14:textId="77777777" w:rsidR="00DD3F05" w:rsidRDefault="000529E8">
                          <w:r>
                            <w:t>Voorstellen samen trap-op, samen trap-af</w:t>
                          </w:r>
                        </w:p>
                      </w:tc>
                    </w:tr>
                    <w:tr w:rsidR="00DD3F05" w14:paraId="55FFC693" w14:textId="77777777">
                      <w:trPr>
                        <w:trHeight w:val="200"/>
                      </w:trPr>
                      <w:tc>
                        <w:tcPr>
                          <w:tcW w:w="1140" w:type="dxa"/>
                        </w:tcPr>
                        <w:p w14:paraId="7A5BF7FF" w14:textId="77777777" w:rsidR="00DD3F05" w:rsidRDefault="00DD3F05"/>
                      </w:tc>
                      <w:tc>
                        <w:tcPr>
                          <w:tcW w:w="5918" w:type="dxa"/>
                        </w:tcPr>
                        <w:p w14:paraId="3545E8C6" w14:textId="77777777" w:rsidR="00DD3F05" w:rsidRDefault="00DD3F05"/>
                      </w:tc>
                    </w:tr>
                  </w:tbl>
                  <w:p w14:paraId="5071DCA7" w14:textId="77777777" w:rsidR="00DD3F05" w:rsidRDefault="00DD3F05"/>
                </w:txbxContent>
              </v:textbox>
              <w10:wrap anchorx="page" anchory="page"/>
              <w10:anchorlock/>
            </v:shape>
          </w:pict>
        </mc:Fallback>
      </mc:AlternateContent>
    </w:r>
    <w:r w:rsidR="00DD3F05">
      <w:rPr>
        <w:noProof/>
      </w:rPr>
      <mc:AlternateContent>
        <mc:Choice Requires="wps">
          <w:drawing>
            <wp:anchor distT="0" distB="0" distL="0" distR="0" simplePos="0" relativeHeight="251659776" behindDoc="0" locked="1" layoutInCell="1" allowOverlap="1" wp14:anchorId="3E452ABA" wp14:editId="7E84FB1B">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AF14FB" w14:textId="77777777" w:rsidR="000529E8" w:rsidRPr="00B456CA" w:rsidRDefault="000529E8" w:rsidP="00444712">
                          <w:pPr>
                            <w:pStyle w:val="Kopjeafzendgegevens"/>
                            <w:spacing w:line="200" w:lineRule="exact"/>
                          </w:pPr>
                          <w:r w:rsidRPr="00B456CA">
                            <w:t>Ministerie van Binnenlandse Zaken en Koninkrijksrelaties</w:t>
                          </w:r>
                        </w:p>
                        <w:p w14:paraId="58C4CC1B" w14:textId="77777777" w:rsidR="000529E8" w:rsidRPr="001C3BF6" w:rsidRDefault="000529E8" w:rsidP="00444712">
                          <w:pPr>
                            <w:pStyle w:val="WitregelW1"/>
                            <w:spacing w:line="200" w:lineRule="exact"/>
                            <w:rPr>
                              <w:rFonts w:eastAsiaTheme="minorHAnsi" w:cstheme="minorBidi"/>
                              <w:sz w:val="13"/>
                              <w:szCs w:val="13"/>
                              <w:lang w:eastAsia="en-US"/>
                            </w:rPr>
                          </w:pPr>
                          <w:r>
                            <w:rPr>
                              <w:rFonts w:eastAsiaTheme="minorHAnsi" w:cstheme="minorBidi"/>
                              <w:sz w:val="13"/>
                              <w:szCs w:val="13"/>
                              <w:lang w:eastAsia="en-US"/>
                            </w:rPr>
                            <w:t>Directoraat-</w:t>
                          </w:r>
                          <w:r w:rsidRPr="001C3BF6">
                            <w:rPr>
                              <w:rFonts w:eastAsiaTheme="minorHAnsi" w:cstheme="minorBidi"/>
                              <w:sz w:val="13"/>
                              <w:szCs w:val="13"/>
                              <w:lang w:eastAsia="en-US"/>
                            </w:rPr>
                            <w:t>generaal</w:t>
                          </w:r>
                          <w:r>
                            <w:rPr>
                              <w:rFonts w:eastAsiaTheme="minorHAnsi" w:cstheme="minorBidi"/>
                              <w:sz w:val="13"/>
                              <w:szCs w:val="13"/>
                              <w:lang w:eastAsia="en-US"/>
                            </w:rPr>
                            <w:t xml:space="preserve"> Be</w:t>
                          </w:r>
                          <w:r w:rsidRPr="001C3BF6">
                            <w:rPr>
                              <w:rFonts w:eastAsiaTheme="minorHAnsi" w:cstheme="minorBidi"/>
                              <w:sz w:val="13"/>
                              <w:szCs w:val="13"/>
                              <w:lang w:eastAsia="en-US"/>
                            </w:rPr>
                            <w:t>stuur</w:t>
                          </w:r>
                          <w:r>
                            <w:rPr>
                              <w:rFonts w:eastAsiaTheme="minorHAnsi" w:cstheme="minorBidi"/>
                              <w:sz w:val="13"/>
                              <w:szCs w:val="13"/>
                              <w:lang w:eastAsia="en-US"/>
                            </w:rPr>
                            <w:t>,</w:t>
                          </w:r>
                          <w:r w:rsidRPr="001C3BF6">
                            <w:rPr>
                              <w:rFonts w:eastAsiaTheme="minorHAnsi" w:cstheme="minorBidi"/>
                              <w:sz w:val="13"/>
                              <w:szCs w:val="13"/>
                              <w:lang w:eastAsia="en-US"/>
                            </w:rPr>
                            <w:t xml:space="preserve"> </w:t>
                          </w:r>
                          <w:r>
                            <w:rPr>
                              <w:rFonts w:eastAsiaTheme="minorHAnsi" w:cstheme="minorBidi"/>
                              <w:sz w:val="13"/>
                              <w:szCs w:val="13"/>
                              <w:lang w:eastAsia="en-US"/>
                            </w:rPr>
                            <w:t xml:space="preserve">Ruimte en Wonen - </w:t>
                          </w:r>
                          <w:r w:rsidRPr="001C3BF6">
                            <w:rPr>
                              <w:rFonts w:eastAsiaTheme="minorHAnsi" w:cstheme="minorBidi"/>
                              <w:sz w:val="13"/>
                              <w:szCs w:val="13"/>
                              <w:lang w:eastAsia="en-US"/>
                            </w:rPr>
                            <w:t>directie Bestuur</w:t>
                          </w:r>
                          <w:r>
                            <w:rPr>
                              <w:rFonts w:eastAsiaTheme="minorHAnsi" w:cstheme="minorBidi"/>
                              <w:sz w:val="13"/>
                              <w:szCs w:val="13"/>
                              <w:lang w:eastAsia="en-US"/>
                            </w:rPr>
                            <w:t>,</w:t>
                          </w:r>
                          <w:r w:rsidRPr="001C3BF6">
                            <w:rPr>
                              <w:rFonts w:eastAsiaTheme="minorHAnsi" w:cstheme="minorBidi"/>
                              <w:sz w:val="13"/>
                              <w:szCs w:val="13"/>
                              <w:lang w:eastAsia="en-US"/>
                            </w:rPr>
                            <w:t xml:space="preserve"> Financiën en</w:t>
                          </w:r>
                          <w:r>
                            <w:rPr>
                              <w:rFonts w:eastAsiaTheme="minorHAnsi" w:cstheme="minorBidi"/>
                              <w:sz w:val="13"/>
                              <w:szCs w:val="13"/>
                              <w:lang w:eastAsia="en-US"/>
                            </w:rPr>
                            <w:t xml:space="preserve"> </w:t>
                          </w:r>
                          <w:r w:rsidRPr="001C3BF6">
                            <w:rPr>
                              <w:rFonts w:eastAsiaTheme="minorHAnsi" w:cstheme="minorBidi"/>
                              <w:sz w:val="13"/>
                              <w:szCs w:val="13"/>
                              <w:lang w:eastAsia="en-US"/>
                            </w:rPr>
                            <w:t>Regio’</w:t>
                          </w:r>
                          <w:r>
                            <w:rPr>
                              <w:rFonts w:eastAsiaTheme="minorHAnsi" w:cstheme="minorBidi"/>
                              <w:sz w:val="13"/>
                              <w:szCs w:val="13"/>
                              <w:lang w:eastAsia="en-US"/>
                            </w:rPr>
                            <w:t>s</w:t>
                          </w:r>
                        </w:p>
                        <w:p w14:paraId="10D70972" w14:textId="77777777" w:rsidR="000529E8" w:rsidRPr="000602A8" w:rsidRDefault="000529E8" w:rsidP="00444712">
                          <w:pPr>
                            <w:spacing w:line="200" w:lineRule="exact"/>
                          </w:pPr>
                        </w:p>
                        <w:p w14:paraId="24920187" w14:textId="77777777" w:rsidR="000529E8" w:rsidRPr="00B456CA" w:rsidRDefault="000529E8" w:rsidP="00444712">
                          <w:pPr>
                            <w:pStyle w:val="Afzendgegevens"/>
                            <w:spacing w:line="200" w:lineRule="exact"/>
                            <w:rPr>
                              <w:lang w:val="de-DE"/>
                            </w:rPr>
                          </w:pPr>
                          <w:proofErr w:type="spellStart"/>
                          <w:r w:rsidRPr="00B456CA">
                            <w:rPr>
                              <w:lang w:val="de-DE"/>
                            </w:rPr>
                            <w:t>Turfmarkt</w:t>
                          </w:r>
                          <w:proofErr w:type="spellEnd"/>
                          <w:r w:rsidRPr="00B456CA">
                            <w:rPr>
                              <w:lang w:val="de-DE"/>
                            </w:rPr>
                            <w:t xml:space="preserve"> 147</w:t>
                          </w:r>
                        </w:p>
                        <w:p w14:paraId="10516AD8" w14:textId="77777777" w:rsidR="000529E8" w:rsidRPr="00B456CA" w:rsidRDefault="000529E8" w:rsidP="00444712">
                          <w:pPr>
                            <w:pStyle w:val="Afzendgegevens"/>
                            <w:spacing w:line="200" w:lineRule="exact"/>
                            <w:rPr>
                              <w:lang w:val="de-DE"/>
                            </w:rPr>
                          </w:pPr>
                          <w:r w:rsidRPr="00B456CA">
                            <w:rPr>
                              <w:lang w:val="de-DE"/>
                            </w:rPr>
                            <w:t>Den Haag</w:t>
                          </w:r>
                        </w:p>
                        <w:p w14:paraId="1E7C88EF" w14:textId="77777777" w:rsidR="000529E8" w:rsidRPr="00B456CA" w:rsidRDefault="000529E8" w:rsidP="00444712">
                          <w:pPr>
                            <w:pStyle w:val="Afzendgegevens"/>
                            <w:spacing w:line="200" w:lineRule="exact"/>
                            <w:rPr>
                              <w:lang w:val="de-DE"/>
                            </w:rPr>
                          </w:pPr>
                          <w:r w:rsidRPr="00B456CA">
                            <w:rPr>
                              <w:lang w:val="de-DE"/>
                            </w:rPr>
                            <w:t>Postbus 20011</w:t>
                          </w:r>
                        </w:p>
                        <w:p w14:paraId="1362E8B0" w14:textId="77777777" w:rsidR="008442CF" w:rsidRDefault="000529E8" w:rsidP="008442CF">
                          <w:pPr>
                            <w:pStyle w:val="Afzendgegevens"/>
                            <w:spacing w:line="200" w:lineRule="exact"/>
                            <w:rPr>
                              <w:lang w:val="de-DE"/>
                            </w:rPr>
                          </w:pPr>
                          <w:r w:rsidRPr="000602A8">
                            <w:rPr>
                              <w:lang w:val="de-DE"/>
                            </w:rPr>
                            <w:t>2500 EA  Den Haag</w:t>
                          </w:r>
                        </w:p>
                        <w:p w14:paraId="3A8B8177" w14:textId="77777777" w:rsidR="008442CF" w:rsidRDefault="008442CF" w:rsidP="008442CF">
                          <w:pPr>
                            <w:pStyle w:val="Afzendgegevens"/>
                            <w:spacing w:line="200" w:lineRule="exact"/>
                            <w:rPr>
                              <w:lang w:val="de-DE"/>
                            </w:rPr>
                          </w:pPr>
                        </w:p>
                        <w:p w14:paraId="23EBF591" w14:textId="77777777" w:rsidR="008442CF" w:rsidRDefault="008442CF" w:rsidP="008442CF">
                          <w:pPr>
                            <w:pStyle w:val="Kopjereferentiegegevens"/>
                          </w:pPr>
                          <w:r>
                            <w:t>Kenmerk</w:t>
                          </w:r>
                        </w:p>
                        <w:p w14:paraId="2E389238" w14:textId="5231D015" w:rsidR="008442CF" w:rsidRDefault="00892272" w:rsidP="008442CF">
                          <w:pPr>
                            <w:pStyle w:val="Referentiegegevens"/>
                          </w:pPr>
                          <w:fldSimple w:instr=" DOCPROPERTY  &quot;Kenmerk&quot;  \* MERGEFORMAT ">
                            <w:r w:rsidR="001C5881">
                              <w:t>2019-0000671314</w:t>
                            </w:r>
                          </w:fldSimple>
                        </w:p>
                        <w:p w14:paraId="07FD91F5" w14:textId="51158D83" w:rsidR="00DD3F05" w:rsidRDefault="00DD3F05" w:rsidP="008442CF">
                          <w:pPr>
                            <w:pStyle w:val="Afzendgegevens"/>
                            <w:spacing w:line="200" w:lineRule="exact"/>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E452ABA" id="Colofon" o:spid="_x0000_s1036" type="#_x0000_t202" style="position:absolute;margin-left:466.25pt;margin-top:154.4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l6njM6cBAAA4AwAADgAAAAAAAAAAAAAAAAAuAgAAZHJzL2Uyb0RvYy54bWxQSwEC&#10;LQAUAAYACAAAACEAeh8SteIAAAANAQAADwAAAAAAAAAAAAAAAAABBAAAZHJzL2Rvd25yZXYueG1s&#10;UEsFBgAAAAAEAAQA8wAAABAFAAAAAA==&#10;" filled="f" stroked="f">
              <v:textbox inset="0,0,0,0">
                <w:txbxContent>
                  <w:p w14:paraId="75AF14FB" w14:textId="77777777" w:rsidR="000529E8" w:rsidRPr="00B456CA" w:rsidRDefault="000529E8" w:rsidP="00444712">
                    <w:pPr>
                      <w:pStyle w:val="Kopjeafzendgegevens"/>
                      <w:spacing w:line="200" w:lineRule="exact"/>
                    </w:pPr>
                    <w:r w:rsidRPr="00B456CA">
                      <w:t>Ministerie van Binnenlandse Zaken en Koninkrijksrelaties</w:t>
                    </w:r>
                  </w:p>
                  <w:p w14:paraId="58C4CC1B" w14:textId="77777777" w:rsidR="000529E8" w:rsidRPr="001C3BF6" w:rsidRDefault="000529E8" w:rsidP="00444712">
                    <w:pPr>
                      <w:pStyle w:val="WitregelW1"/>
                      <w:spacing w:line="200" w:lineRule="exact"/>
                      <w:rPr>
                        <w:rFonts w:eastAsiaTheme="minorHAnsi" w:cstheme="minorBidi"/>
                        <w:sz w:val="13"/>
                        <w:szCs w:val="13"/>
                        <w:lang w:eastAsia="en-US"/>
                      </w:rPr>
                    </w:pPr>
                    <w:r>
                      <w:rPr>
                        <w:rFonts w:eastAsiaTheme="minorHAnsi" w:cstheme="minorBidi"/>
                        <w:sz w:val="13"/>
                        <w:szCs w:val="13"/>
                        <w:lang w:eastAsia="en-US"/>
                      </w:rPr>
                      <w:t>Directoraat-</w:t>
                    </w:r>
                    <w:r w:rsidRPr="001C3BF6">
                      <w:rPr>
                        <w:rFonts w:eastAsiaTheme="minorHAnsi" w:cstheme="minorBidi"/>
                        <w:sz w:val="13"/>
                        <w:szCs w:val="13"/>
                        <w:lang w:eastAsia="en-US"/>
                      </w:rPr>
                      <w:t>generaal</w:t>
                    </w:r>
                    <w:r>
                      <w:rPr>
                        <w:rFonts w:eastAsiaTheme="minorHAnsi" w:cstheme="minorBidi"/>
                        <w:sz w:val="13"/>
                        <w:szCs w:val="13"/>
                        <w:lang w:eastAsia="en-US"/>
                      </w:rPr>
                      <w:t xml:space="preserve"> Be</w:t>
                    </w:r>
                    <w:r w:rsidRPr="001C3BF6">
                      <w:rPr>
                        <w:rFonts w:eastAsiaTheme="minorHAnsi" w:cstheme="minorBidi"/>
                        <w:sz w:val="13"/>
                        <w:szCs w:val="13"/>
                        <w:lang w:eastAsia="en-US"/>
                      </w:rPr>
                      <w:t>stuur</w:t>
                    </w:r>
                    <w:r>
                      <w:rPr>
                        <w:rFonts w:eastAsiaTheme="minorHAnsi" w:cstheme="minorBidi"/>
                        <w:sz w:val="13"/>
                        <w:szCs w:val="13"/>
                        <w:lang w:eastAsia="en-US"/>
                      </w:rPr>
                      <w:t>,</w:t>
                    </w:r>
                    <w:r w:rsidRPr="001C3BF6">
                      <w:rPr>
                        <w:rFonts w:eastAsiaTheme="minorHAnsi" w:cstheme="minorBidi"/>
                        <w:sz w:val="13"/>
                        <w:szCs w:val="13"/>
                        <w:lang w:eastAsia="en-US"/>
                      </w:rPr>
                      <w:t xml:space="preserve"> </w:t>
                    </w:r>
                    <w:r>
                      <w:rPr>
                        <w:rFonts w:eastAsiaTheme="minorHAnsi" w:cstheme="minorBidi"/>
                        <w:sz w:val="13"/>
                        <w:szCs w:val="13"/>
                        <w:lang w:eastAsia="en-US"/>
                      </w:rPr>
                      <w:t xml:space="preserve">Ruimte en Wonen - </w:t>
                    </w:r>
                    <w:r w:rsidRPr="001C3BF6">
                      <w:rPr>
                        <w:rFonts w:eastAsiaTheme="minorHAnsi" w:cstheme="minorBidi"/>
                        <w:sz w:val="13"/>
                        <w:szCs w:val="13"/>
                        <w:lang w:eastAsia="en-US"/>
                      </w:rPr>
                      <w:t>directie Bestuur</w:t>
                    </w:r>
                    <w:r>
                      <w:rPr>
                        <w:rFonts w:eastAsiaTheme="minorHAnsi" w:cstheme="minorBidi"/>
                        <w:sz w:val="13"/>
                        <w:szCs w:val="13"/>
                        <w:lang w:eastAsia="en-US"/>
                      </w:rPr>
                      <w:t>,</w:t>
                    </w:r>
                    <w:r w:rsidRPr="001C3BF6">
                      <w:rPr>
                        <w:rFonts w:eastAsiaTheme="minorHAnsi" w:cstheme="minorBidi"/>
                        <w:sz w:val="13"/>
                        <w:szCs w:val="13"/>
                        <w:lang w:eastAsia="en-US"/>
                      </w:rPr>
                      <w:t xml:space="preserve"> Financiën en</w:t>
                    </w:r>
                    <w:r>
                      <w:rPr>
                        <w:rFonts w:eastAsiaTheme="minorHAnsi" w:cstheme="minorBidi"/>
                        <w:sz w:val="13"/>
                        <w:szCs w:val="13"/>
                        <w:lang w:eastAsia="en-US"/>
                      </w:rPr>
                      <w:t xml:space="preserve"> </w:t>
                    </w:r>
                    <w:r w:rsidRPr="001C3BF6">
                      <w:rPr>
                        <w:rFonts w:eastAsiaTheme="minorHAnsi" w:cstheme="minorBidi"/>
                        <w:sz w:val="13"/>
                        <w:szCs w:val="13"/>
                        <w:lang w:eastAsia="en-US"/>
                      </w:rPr>
                      <w:t>Regio’</w:t>
                    </w:r>
                    <w:r>
                      <w:rPr>
                        <w:rFonts w:eastAsiaTheme="minorHAnsi" w:cstheme="minorBidi"/>
                        <w:sz w:val="13"/>
                        <w:szCs w:val="13"/>
                        <w:lang w:eastAsia="en-US"/>
                      </w:rPr>
                      <w:t>s</w:t>
                    </w:r>
                  </w:p>
                  <w:p w14:paraId="10D70972" w14:textId="77777777" w:rsidR="000529E8" w:rsidRPr="000602A8" w:rsidRDefault="000529E8" w:rsidP="00444712">
                    <w:pPr>
                      <w:spacing w:line="200" w:lineRule="exact"/>
                    </w:pPr>
                  </w:p>
                  <w:p w14:paraId="24920187" w14:textId="77777777" w:rsidR="000529E8" w:rsidRPr="00B456CA" w:rsidRDefault="000529E8" w:rsidP="00444712">
                    <w:pPr>
                      <w:pStyle w:val="Afzendgegevens"/>
                      <w:spacing w:line="200" w:lineRule="exact"/>
                      <w:rPr>
                        <w:lang w:val="de-DE"/>
                      </w:rPr>
                    </w:pPr>
                    <w:proofErr w:type="spellStart"/>
                    <w:r w:rsidRPr="00B456CA">
                      <w:rPr>
                        <w:lang w:val="de-DE"/>
                      </w:rPr>
                      <w:t>Turfmarkt</w:t>
                    </w:r>
                    <w:proofErr w:type="spellEnd"/>
                    <w:r w:rsidRPr="00B456CA">
                      <w:rPr>
                        <w:lang w:val="de-DE"/>
                      </w:rPr>
                      <w:t xml:space="preserve"> 147</w:t>
                    </w:r>
                  </w:p>
                  <w:p w14:paraId="10516AD8" w14:textId="77777777" w:rsidR="000529E8" w:rsidRPr="00B456CA" w:rsidRDefault="000529E8" w:rsidP="00444712">
                    <w:pPr>
                      <w:pStyle w:val="Afzendgegevens"/>
                      <w:spacing w:line="200" w:lineRule="exact"/>
                      <w:rPr>
                        <w:lang w:val="de-DE"/>
                      </w:rPr>
                    </w:pPr>
                    <w:r w:rsidRPr="00B456CA">
                      <w:rPr>
                        <w:lang w:val="de-DE"/>
                      </w:rPr>
                      <w:t>Den Haag</w:t>
                    </w:r>
                  </w:p>
                  <w:p w14:paraId="1E7C88EF" w14:textId="77777777" w:rsidR="000529E8" w:rsidRPr="00B456CA" w:rsidRDefault="000529E8" w:rsidP="00444712">
                    <w:pPr>
                      <w:pStyle w:val="Afzendgegevens"/>
                      <w:spacing w:line="200" w:lineRule="exact"/>
                      <w:rPr>
                        <w:lang w:val="de-DE"/>
                      </w:rPr>
                    </w:pPr>
                    <w:r w:rsidRPr="00B456CA">
                      <w:rPr>
                        <w:lang w:val="de-DE"/>
                      </w:rPr>
                      <w:t>Postbus 20011</w:t>
                    </w:r>
                  </w:p>
                  <w:p w14:paraId="1362E8B0" w14:textId="77777777" w:rsidR="008442CF" w:rsidRDefault="000529E8" w:rsidP="008442CF">
                    <w:pPr>
                      <w:pStyle w:val="Afzendgegevens"/>
                      <w:spacing w:line="200" w:lineRule="exact"/>
                      <w:rPr>
                        <w:lang w:val="de-DE"/>
                      </w:rPr>
                    </w:pPr>
                    <w:r w:rsidRPr="000602A8">
                      <w:rPr>
                        <w:lang w:val="de-DE"/>
                      </w:rPr>
                      <w:t>2500 EA  Den Haag</w:t>
                    </w:r>
                  </w:p>
                  <w:p w14:paraId="3A8B8177" w14:textId="77777777" w:rsidR="008442CF" w:rsidRDefault="008442CF" w:rsidP="008442CF">
                    <w:pPr>
                      <w:pStyle w:val="Afzendgegevens"/>
                      <w:spacing w:line="200" w:lineRule="exact"/>
                      <w:rPr>
                        <w:lang w:val="de-DE"/>
                      </w:rPr>
                    </w:pPr>
                  </w:p>
                  <w:p w14:paraId="23EBF591" w14:textId="77777777" w:rsidR="008442CF" w:rsidRDefault="008442CF" w:rsidP="008442CF">
                    <w:pPr>
                      <w:pStyle w:val="Kopjereferentiegegevens"/>
                    </w:pPr>
                    <w:r>
                      <w:t>Kenmerk</w:t>
                    </w:r>
                  </w:p>
                  <w:p w14:paraId="2E389238" w14:textId="5231D015" w:rsidR="008442CF" w:rsidRDefault="00892272" w:rsidP="008442CF">
                    <w:pPr>
                      <w:pStyle w:val="Referentiegegevens"/>
                    </w:pPr>
                    <w:fldSimple w:instr=" DOCPROPERTY  &quot;Kenmerk&quot;  \* MERGEFORMAT ">
                      <w:r w:rsidR="001C5881">
                        <w:t>2019-0000671314</w:t>
                      </w:r>
                    </w:fldSimple>
                  </w:p>
                  <w:p w14:paraId="07FD91F5" w14:textId="51158D83" w:rsidR="00DD3F05" w:rsidRDefault="00DD3F05" w:rsidP="008442CF">
                    <w:pPr>
                      <w:pStyle w:val="Afzendgegevens"/>
                      <w:spacing w:line="200" w:lineRule="exact"/>
                    </w:pPr>
                    <w:r>
                      <w:fldChar w:fldCharType="begin"/>
                    </w:r>
                    <w:r>
                      <w:instrText xml:space="preserve"> DOCPROPERTY  "UwKenmerk"  \* MERGEFORMAT </w:instrText>
                    </w:r>
                    <w:r>
                      <w:fldChar w:fldCharType="end"/>
                    </w:r>
                  </w:p>
                </w:txbxContent>
              </v:textbox>
              <w10:wrap anchorx="page" anchory="page"/>
              <w10:anchorlock/>
            </v:shape>
          </w:pict>
        </mc:Fallback>
      </mc:AlternateContent>
    </w:r>
    <w:r w:rsidR="00DD3F05">
      <w:rPr>
        <w:noProof/>
      </w:rPr>
      <mc:AlternateContent>
        <mc:Choice Requires="wps">
          <w:drawing>
            <wp:anchor distT="0" distB="0" distL="0" distR="0" simplePos="0" relativeHeight="251660800" behindDoc="0" locked="1" layoutInCell="1" allowOverlap="1" wp14:anchorId="4EA23D55" wp14:editId="4117CFE7">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C73CA06" w14:textId="1D4605BF" w:rsidR="00DD3F05" w:rsidRDefault="00DD3F05">
                          <w:pPr>
                            <w:pStyle w:val="Referentiegegevens"/>
                          </w:pPr>
                          <w:r>
                            <w:t xml:space="preserve">Pagina </w:t>
                          </w:r>
                          <w:r>
                            <w:fldChar w:fldCharType="begin"/>
                          </w:r>
                          <w:r>
                            <w:instrText>PAGE</w:instrText>
                          </w:r>
                          <w:r>
                            <w:fldChar w:fldCharType="separate"/>
                          </w:r>
                          <w:r w:rsidR="001C5881">
                            <w:rPr>
                              <w:noProof/>
                            </w:rPr>
                            <w:t>1</w:t>
                          </w:r>
                          <w:r>
                            <w:fldChar w:fldCharType="end"/>
                          </w:r>
                          <w:r>
                            <w:t xml:space="preserve"> van </w:t>
                          </w:r>
                          <w:r>
                            <w:fldChar w:fldCharType="begin"/>
                          </w:r>
                          <w:r>
                            <w:instrText>NUMPAGES</w:instrText>
                          </w:r>
                          <w:r>
                            <w:fldChar w:fldCharType="separate"/>
                          </w:r>
                          <w:r w:rsidR="001C5881">
                            <w:rPr>
                              <w:noProof/>
                            </w:rPr>
                            <w:t>5</w:t>
                          </w:r>
                          <w:r>
                            <w:fldChar w:fldCharType="end"/>
                          </w:r>
                        </w:p>
                      </w:txbxContent>
                    </wps:txbx>
                    <wps:bodyPr vert="horz" wrap="square" lIns="0" tIns="0" rIns="0" bIns="0" anchor="t" anchorCtr="0"/>
                  </wps:wsp>
                </a:graphicData>
              </a:graphic>
            </wp:anchor>
          </w:drawing>
        </mc:Choice>
        <mc:Fallback>
          <w:pict>
            <v:shape w14:anchorId="4EA23D55" id="Paginanummer" o:spid="_x0000_s1037" type="#_x0000_t202" style="position:absolute;margin-left:467.1pt;margin-top:802.95pt;width:98.2pt;height:11.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ACu2sjqQEAADwDAAAOAAAAAAAAAAAAAAAAAC4CAABkcnMvZTJvRG9jLnhtbFBL&#10;AQItABQABgAIAAAAIQC0oiQQ4gAAAA4BAAAPAAAAAAAAAAAAAAAAAAMEAABkcnMvZG93bnJldi54&#10;bWxQSwUGAAAAAAQABADzAAAAEgUAAAAA&#10;" filled="f" stroked="f">
              <v:textbox inset="0,0,0,0">
                <w:txbxContent>
                  <w:p w14:paraId="7C73CA06" w14:textId="1D4605BF" w:rsidR="00DD3F05" w:rsidRDefault="00DD3F05">
                    <w:pPr>
                      <w:pStyle w:val="Referentiegegevens"/>
                    </w:pPr>
                    <w:r>
                      <w:t xml:space="preserve">Pagina </w:t>
                    </w:r>
                    <w:r>
                      <w:fldChar w:fldCharType="begin"/>
                    </w:r>
                    <w:r>
                      <w:instrText>PAGE</w:instrText>
                    </w:r>
                    <w:r>
                      <w:fldChar w:fldCharType="separate"/>
                    </w:r>
                    <w:r w:rsidR="001C5881">
                      <w:rPr>
                        <w:noProof/>
                      </w:rPr>
                      <w:t>1</w:t>
                    </w:r>
                    <w:r>
                      <w:fldChar w:fldCharType="end"/>
                    </w:r>
                    <w:r>
                      <w:t xml:space="preserve"> van </w:t>
                    </w:r>
                    <w:r>
                      <w:fldChar w:fldCharType="begin"/>
                    </w:r>
                    <w:r>
                      <w:instrText>NUMPAGES</w:instrText>
                    </w:r>
                    <w:r>
                      <w:fldChar w:fldCharType="separate"/>
                    </w:r>
                    <w:r w:rsidR="001C5881">
                      <w:rPr>
                        <w:noProof/>
                      </w:rPr>
                      <w:t>5</w:t>
                    </w:r>
                    <w:r>
                      <w:fldChar w:fldCharType="end"/>
                    </w:r>
                  </w:p>
                </w:txbxContent>
              </v:textbox>
              <w10:wrap anchorx="page" anchory="page"/>
              <w10:anchorlock/>
            </v:shape>
          </w:pict>
        </mc:Fallback>
      </mc:AlternateContent>
    </w:r>
    <w:r w:rsidR="00DD3F05">
      <w:rPr>
        <w:noProof/>
      </w:rPr>
      <mc:AlternateContent>
        <mc:Choice Requires="wps">
          <w:drawing>
            <wp:anchor distT="0" distB="0" distL="0" distR="0" simplePos="0" relativeHeight="251661824" behindDoc="0" locked="1" layoutInCell="1" allowOverlap="1" wp14:anchorId="498FAB95" wp14:editId="27B644BA">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6601C43F" w14:textId="77777777" w:rsidR="00DD3F05" w:rsidRDefault="00DD3F05"/>
                      </w:txbxContent>
                    </wps:txbx>
                    <wps:bodyPr vert="horz" wrap="square" lIns="0" tIns="0" rIns="0" bIns="0" anchor="t" anchorCtr="0"/>
                  </wps:wsp>
                </a:graphicData>
              </a:graphic>
            </wp:anchor>
          </w:drawing>
        </mc:Choice>
        <mc:Fallback>
          <w:pict>
            <v:shape w14:anchorId="498FAB95" id="Rubricering onder" o:spid="_x0000_s1038" type="#_x0000_t202" style="position:absolute;margin-left:79.35pt;margin-top:802.95pt;width:141.75pt;height:11.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BoSS+drAEAAEEDAAAOAAAAAAAAAAAAAAAAAC4CAABkcnMvZTJvRG9jLnht&#10;bFBLAQItABQABgAIAAAAIQC+EDyf4gAAAA0BAAAPAAAAAAAAAAAAAAAAAAYEAABkcnMvZG93bnJl&#10;di54bWxQSwUGAAAAAAQABADzAAAAFQUAAAAA&#10;" filled="f" stroked="f">
              <v:textbox inset="0,0,0,0">
                <w:txbxContent>
                  <w:p w14:paraId="6601C43F" w14:textId="77777777" w:rsidR="00DD3F05" w:rsidRDefault="00DD3F05"/>
                </w:txbxContent>
              </v:textbox>
              <w10:wrap anchorx="page" anchory="page"/>
              <w10:anchorlock/>
            </v:shape>
          </w:pict>
        </mc:Fallback>
      </mc:AlternateContent>
    </w:r>
    <w:r w:rsidR="00DD3F05">
      <w:rPr>
        <w:noProof/>
      </w:rPr>
      <mc:AlternateContent>
        <mc:Choice Requires="wps">
          <w:drawing>
            <wp:anchor distT="0" distB="0" distL="0" distR="0" simplePos="0" relativeHeight="251662848" behindDoc="0" locked="1" layoutInCell="1" allowOverlap="1" wp14:anchorId="167765FF" wp14:editId="7D90939E">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54880B1" w14:textId="77777777" w:rsidR="00DD3F05" w:rsidRDefault="00DD3F05"/>
                      </w:txbxContent>
                    </wps:txbx>
                    <wps:bodyPr vert="horz" wrap="square" lIns="0" tIns="0" rIns="0" bIns="0" anchor="t" anchorCtr="0"/>
                  </wps:wsp>
                </a:graphicData>
              </a:graphic>
            </wp:anchor>
          </w:drawing>
        </mc:Choice>
        <mc:Fallback>
          <w:pict>
            <v:shape w14:anchorId="167765FF" id="Documentnaam" o:spid="_x0000_s1039" type="#_x0000_t202" style="position:absolute;margin-left:79.35pt;margin-top:248.95pt;width:98.2pt;height:3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gsJyY6kBAAA9AwAADgAAAAAAAAAAAAAAAAAuAgAAZHJzL2Uyb0RvYy54bWxQSwEC&#10;LQAUAAYACAAAACEAC8Hg0uAAAAALAQAADwAAAAAAAAAAAAAAAAADBAAAZHJzL2Rvd25yZXYueG1s&#10;UEsFBgAAAAAEAAQA8wAAABAFAAAAAA==&#10;" filled="f" stroked="f">
              <v:textbox inset="0,0,0,0">
                <w:txbxContent>
                  <w:p w14:paraId="654880B1" w14:textId="77777777" w:rsidR="00DD3F05" w:rsidRDefault="00DD3F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E9972"/>
    <w:multiLevelType w:val="multilevel"/>
    <w:tmpl w:val="6A0CD89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BF6CD2"/>
    <w:multiLevelType w:val="multilevel"/>
    <w:tmpl w:val="81F05AF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4D0B15"/>
    <w:multiLevelType w:val="multilevel"/>
    <w:tmpl w:val="3716ACBE"/>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951483"/>
    <w:multiLevelType w:val="multilevel"/>
    <w:tmpl w:val="B9D591EC"/>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A8D2587"/>
    <w:multiLevelType w:val="multilevel"/>
    <w:tmpl w:val="CB738DEC"/>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2860B8"/>
    <w:multiLevelType w:val="multilevel"/>
    <w:tmpl w:val="6826B76F"/>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C59487D"/>
    <w:multiLevelType w:val="multilevel"/>
    <w:tmpl w:val="2B4C1928"/>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2F2C78"/>
    <w:multiLevelType w:val="hybridMultilevel"/>
    <w:tmpl w:val="99B8CB6E"/>
    <w:lvl w:ilvl="0" w:tplc="E2904BF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00FF5D14"/>
    <w:multiLevelType w:val="multilevel"/>
    <w:tmpl w:val="2238DFB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4F0CE3"/>
    <w:multiLevelType w:val="hybridMultilevel"/>
    <w:tmpl w:val="AC3C1A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B1C62C9"/>
    <w:multiLevelType w:val="hybridMultilevel"/>
    <w:tmpl w:val="2F02AA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CBEFE40"/>
    <w:multiLevelType w:val="multilevel"/>
    <w:tmpl w:val="DBAEA38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CA292"/>
    <w:multiLevelType w:val="multilevel"/>
    <w:tmpl w:val="CF921297"/>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B3A53F"/>
    <w:multiLevelType w:val="multilevel"/>
    <w:tmpl w:val="470A59C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AA3A1D"/>
    <w:multiLevelType w:val="hybridMultilevel"/>
    <w:tmpl w:val="2012CC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E7D3E10"/>
    <w:multiLevelType w:val="multilevel"/>
    <w:tmpl w:val="B811F12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69284F"/>
    <w:multiLevelType w:val="multilevel"/>
    <w:tmpl w:val="64DB842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28E39F"/>
    <w:multiLevelType w:val="multilevel"/>
    <w:tmpl w:val="3FA41809"/>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E94AA7"/>
    <w:multiLevelType w:val="hybridMultilevel"/>
    <w:tmpl w:val="8034E2C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9C41E64"/>
    <w:multiLevelType w:val="multilevel"/>
    <w:tmpl w:val="6A5B3C5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E9BD95"/>
    <w:multiLevelType w:val="multilevel"/>
    <w:tmpl w:val="251172E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195585"/>
    <w:multiLevelType w:val="multilevel"/>
    <w:tmpl w:val="EA99504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2B05BE"/>
    <w:multiLevelType w:val="multilevel"/>
    <w:tmpl w:val="2366D51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D8CC48"/>
    <w:multiLevelType w:val="multilevel"/>
    <w:tmpl w:val="1B8FCF7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331BCF"/>
    <w:multiLevelType w:val="multilevel"/>
    <w:tmpl w:val="DD69E3A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8C06D5"/>
    <w:multiLevelType w:val="multilevel"/>
    <w:tmpl w:val="26E29EA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7428A4"/>
    <w:multiLevelType w:val="hybridMultilevel"/>
    <w:tmpl w:val="AE28D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0FC0E5"/>
    <w:multiLevelType w:val="multilevel"/>
    <w:tmpl w:val="B57F92A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A86AAA"/>
    <w:multiLevelType w:val="hybridMultilevel"/>
    <w:tmpl w:val="752A3EDE"/>
    <w:lvl w:ilvl="0" w:tplc="10E69C0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6B7300"/>
    <w:multiLevelType w:val="hybridMultilevel"/>
    <w:tmpl w:val="22B03E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EAAB3BC"/>
    <w:multiLevelType w:val="multilevel"/>
    <w:tmpl w:val="273CE0D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7288FF"/>
    <w:multiLevelType w:val="multilevel"/>
    <w:tmpl w:val="AF6F8D5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435543"/>
    <w:multiLevelType w:val="hybridMultilevel"/>
    <w:tmpl w:val="C4DA98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D3D0550"/>
    <w:multiLevelType w:val="multilevel"/>
    <w:tmpl w:val="74A97889"/>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EF4568"/>
    <w:multiLevelType w:val="multilevel"/>
    <w:tmpl w:val="3CE16D5A"/>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5E1B17"/>
    <w:multiLevelType w:val="hybridMultilevel"/>
    <w:tmpl w:val="65A8408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C21A703"/>
    <w:multiLevelType w:val="multilevel"/>
    <w:tmpl w:val="D742325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191C4B"/>
    <w:multiLevelType w:val="multilevel"/>
    <w:tmpl w:val="8853A2F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8"/>
  </w:num>
  <w:num w:numId="4">
    <w:abstractNumId w:val="13"/>
  </w:num>
  <w:num w:numId="5">
    <w:abstractNumId w:val="22"/>
  </w:num>
  <w:num w:numId="6">
    <w:abstractNumId w:val="31"/>
  </w:num>
  <w:num w:numId="7">
    <w:abstractNumId w:val="11"/>
  </w:num>
  <w:num w:numId="8">
    <w:abstractNumId w:val="36"/>
  </w:num>
  <w:num w:numId="9">
    <w:abstractNumId w:val="1"/>
  </w:num>
  <w:num w:numId="10">
    <w:abstractNumId w:val="2"/>
  </w:num>
  <w:num w:numId="11">
    <w:abstractNumId w:val="12"/>
  </w:num>
  <w:num w:numId="12">
    <w:abstractNumId w:val="4"/>
  </w:num>
  <w:num w:numId="13">
    <w:abstractNumId w:val="3"/>
  </w:num>
  <w:num w:numId="14">
    <w:abstractNumId w:val="16"/>
  </w:num>
  <w:num w:numId="15">
    <w:abstractNumId w:val="27"/>
  </w:num>
  <w:num w:numId="16">
    <w:abstractNumId w:val="5"/>
  </w:num>
  <w:num w:numId="17">
    <w:abstractNumId w:val="37"/>
  </w:num>
  <w:num w:numId="18">
    <w:abstractNumId w:val="25"/>
  </w:num>
  <w:num w:numId="19">
    <w:abstractNumId w:val="0"/>
  </w:num>
  <w:num w:numId="20">
    <w:abstractNumId w:val="20"/>
  </w:num>
  <w:num w:numId="21">
    <w:abstractNumId w:val="34"/>
  </w:num>
  <w:num w:numId="22">
    <w:abstractNumId w:val="6"/>
  </w:num>
  <w:num w:numId="23">
    <w:abstractNumId w:val="24"/>
  </w:num>
  <w:num w:numId="24">
    <w:abstractNumId w:val="33"/>
  </w:num>
  <w:num w:numId="25">
    <w:abstractNumId w:val="19"/>
  </w:num>
  <w:num w:numId="26">
    <w:abstractNumId w:val="17"/>
  </w:num>
  <w:num w:numId="27">
    <w:abstractNumId w:val="21"/>
  </w:num>
  <w:num w:numId="28">
    <w:abstractNumId w:val="23"/>
  </w:num>
  <w:num w:numId="29">
    <w:abstractNumId w:val="29"/>
  </w:num>
  <w:num w:numId="30">
    <w:abstractNumId w:val="7"/>
  </w:num>
  <w:num w:numId="31">
    <w:abstractNumId w:val="35"/>
  </w:num>
  <w:num w:numId="32">
    <w:abstractNumId w:val="10"/>
  </w:num>
  <w:num w:numId="33">
    <w:abstractNumId w:val="26"/>
  </w:num>
  <w:num w:numId="34">
    <w:abstractNumId w:val="9"/>
  </w:num>
  <w:num w:numId="35">
    <w:abstractNumId w:val="14"/>
  </w:num>
  <w:num w:numId="36">
    <w:abstractNumId w:val="32"/>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C0"/>
    <w:rsid w:val="000004D9"/>
    <w:rsid w:val="00003A63"/>
    <w:rsid w:val="00023114"/>
    <w:rsid w:val="00030CC3"/>
    <w:rsid w:val="00036631"/>
    <w:rsid w:val="000529E8"/>
    <w:rsid w:val="000709C8"/>
    <w:rsid w:val="00095524"/>
    <w:rsid w:val="000F6E99"/>
    <w:rsid w:val="00126AC0"/>
    <w:rsid w:val="00161AEF"/>
    <w:rsid w:val="001675DC"/>
    <w:rsid w:val="00196880"/>
    <w:rsid w:val="001C2EE1"/>
    <w:rsid w:val="001C5881"/>
    <w:rsid w:val="001D0490"/>
    <w:rsid w:val="001F379D"/>
    <w:rsid w:val="0020473C"/>
    <w:rsid w:val="0021319B"/>
    <w:rsid w:val="00232549"/>
    <w:rsid w:val="0027038A"/>
    <w:rsid w:val="00285CD0"/>
    <w:rsid w:val="002A325E"/>
    <w:rsid w:val="002C11CB"/>
    <w:rsid w:val="002D29F7"/>
    <w:rsid w:val="0033695D"/>
    <w:rsid w:val="00341C9F"/>
    <w:rsid w:val="00362BE0"/>
    <w:rsid w:val="003651BF"/>
    <w:rsid w:val="003B185B"/>
    <w:rsid w:val="003E7418"/>
    <w:rsid w:val="00444712"/>
    <w:rsid w:val="004C3AC3"/>
    <w:rsid w:val="004E436C"/>
    <w:rsid w:val="005157F0"/>
    <w:rsid w:val="005255DD"/>
    <w:rsid w:val="005601DF"/>
    <w:rsid w:val="005C1F45"/>
    <w:rsid w:val="0060434D"/>
    <w:rsid w:val="006244C0"/>
    <w:rsid w:val="00641A99"/>
    <w:rsid w:val="00677C70"/>
    <w:rsid w:val="00697EA3"/>
    <w:rsid w:val="006C2968"/>
    <w:rsid w:val="006C5A38"/>
    <w:rsid w:val="006E6EAD"/>
    <w:rsid w:val="00733FFA"/>
    <w:rsid w:val="0073705C"/>
    <w:rsid w:val="00764786"/>
    <w:rsid w:val="00767620"/>
    <w:rsid w:val="007B2DBD"/>
    <w:rsid w:val="007D40AC"/>
    <w:rsid w:val="00821818"/>
    <w:rsid w:val="0082343A"/>
    <w:rsid w:val="00827FA5"/>
    <w:rsid w:val="008442CF"/>
    <w:rsid w:val="008656F9"/>
    <w:rsid w:val="008753E1"/>
    <w:rsid w:val="00892272"/>
    <w:rsid w:val="00897EC3"/>
    <w:rsid w:val="008E06F3"/>
    <w:rsid w:val="00916F8B"/>
    <w:rsid w:val="009635EB"/>
    <w:rsid w:val="009729F9"/>
    <w:rsid w:val="00996EB8"/>
    <w:rsid w:val="009C40EE"/>
    <w:rsid w:val="00A0740A"/>
    <w:rsid w:val="00A317AA"/>
    <w:rsid w:val="00A34FB1"/>
    <w:rsid w:val="00A81989"/>
    <w:rsid w:val="00A90E5A"/>
    <w:rsid w:val="00AC745D"/>
    <w:rsid w:val="00AE1C73"/>
    <w:rsid w:val="00AE5B29"/>
    <w:rsid w:val="00B04EEF"/>
    <w:rsid w:val="00BA6962"/>
    <w:rsid w:val="00BD2A2C"/>
    <w:rsid w:val="00C00829"/>
    <w:rsid w:val="00C227C4"/>
    <w:rsid w:val="00C25A10"/>
    <w:rsid w:val="00C61789"/>
    <w:rsid w:val="00C734ED"/>
    <w:rsid w:val="00C77175"/>
    <w:rsid w:val="00C83946"/>
    <w:rsid w:val="00C85B9A"/>
    <w:rsid w:val="00C93A5D"/>
    <w:rsid w:val="00CC132B"/>
    <w:rsid w:val="00CF13EB"/>
    <w:rsid w:val="00CF3D57"/>
    <w:rsid w:val="00CF5040"/>
    <w:rsid w:val="00D15770"/>
    <w:rsid w:val="00D22D60"/>
    <w:rsid w:val="00D6422F"/>
    <w:rsid w:val="00D978D8"/>
    <w:rsid w:val="00DA7591"/>
    <w:rsid w:val="00DB0A19"/>
    <w:rsid w:val="00DB55FE"/>
    <w:rsid w:val="00DD3F05"/>
    <w:rsid w:val="00DF3BFE"/>
    <w:rsid w:val="00E11FC3"/>
    <w:rsid w:val="00E5348E"/>
    <w:rsid w:val="00E62C1B"/>
    <w:rsid w:val="00EC51E0"/>
    <w:rsid w:val="00ED179E"/>
    <w:rsid w:val="00EE6816"/>
    <w:rsid w:val="00EF2737"/>
    <w:rsid w:val="00F27C7A"/>
    <w:rsid w:val="00F5732A"/>
    <w:rsid w:val="00F72C4B"/>
    <w:rsid w:val="00FD7288"/>
    <w:rsid w:val="00FE3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DFCF6"/>
  <w15:docId w15:val="{B20D76DB-A708-45A6-910A-7CB0DDAB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Voetnoottekst">
    <w:name w:val="footnote text"/>
    <w:basedOn w:val="Standaard"/>
    <w:link w:val="VoetnoottekstChar"/>
    <w:uiPriority w:val="99"/>
    <w:unhideWhenUsed/>
    <w:rsid w:val="005157F0"/>
    <w:pPr>
      <w:spacing w:line="240" w:lineRule="auto"/>
    </w:pPr>
    <w:rPr>
      <w:sz w:val="20"/>
      <w:szCs w:val="20"/>
    </w:rPr>
  </w:style>
  <w:style w:type="character" w:customStyle="1" w:styleId="VoetnoottekstChar">
    <w:name w:val="Voetnoottekst Char"/>
    <w:basedOn w:val="Standaardalinea-lettertype"/>
    <w:link w:val="Voetnoottekst"/>
    <w:uiPriority w:val="99"/>
    <w:rsid w:val="005157F0"/>
    <w:rPr>
      <w:rFonts w:ascii="Verdana" w:hAnsi="Verdana"/>
      <w:color w:val="000000"/>
    </w:rPr>
  </w:style>
  <w:style w:type="character" w:styleId="Voetnootmarkering">
    <w:name w:val="footnote reference"/>
    <w:basedOn w:val="Standaardalinea-lettertype"/>
    <w:uiPriority w:val="99"/>
    <w:semiHidden/>
    <w:unhideWhenUsed/>
    <w:rsid w:val="005157F0"/>
    <w:rPr>
      <w:vertAlign w:val="superscript"/>
    </w:rPr>
  </w:style>
  <w:style w:type="paragraph" w:styleId="Geenafstand">
    <w:name w:val="No Spacing"/>
    <w:link w:val="GeenafstandChar"/>
    <w:uiPriority w:val="5"/>
    <w:qFormat/>
    <w:rsid w:val="005157F0"/>
    <w:rPr>
      <w:rFonts w:ascii="Verdana" w:hAnsi="Verdana"/>
      <w:color w:val="000000"/>
      <w:sz w:val="18"/>
      <w:szCs w:val="18"/>
    </w:rPr>
  </w:style>
  <w:style w:type="table" w:styleId="Tabelraster">
    <w:name w:val="Table Grid"/>
    <w:basedOn w:val="Standaardtabel"/>
    <w:uiPriority w:val="39"/>
    <w:rsid w:val="00697EA3"/>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5"/>
    <w:locked/>
    <w:rsid w:val="00A81989"/>
    <w:rPr>
      <w:rFonts w:ascii="Verdana" w:hAnsi="Verdana"/>
      <w:color w:val="000000"/>
      <w:sz w:val="18"/>
      <w:szCs w:val="18"/>
    </w:rPr>
  </w:style>
  <w:style w:type="paragraph" w:styleId="Lijstalinea">
    <w:name w:val="List Paragraph"/>
    <w:basedOn w:val="Standaard"/>
    <w:uiPriority w:val="34"/>
    <w:qFormat/>
    <w:rsid w:val="00A81989"/>
    <w:pPr>
      <w:spacing w:line="240" w:lineRule="exact"/>
      <w:ind w:left="720"/>
      <w:contextualSpacing/>
    </w:pPr>
  </w:style>
  <w:style w:type="character" w:customStyle="1" w:styleId="s24">
    <w:name w:val="s24"/>
    <w:basedOn w:val="Standaardalinea-lettertype"/>
    <w:rsid w:val="000709C8"/>
  </w:style>
  <w:style w:type="character" w:styleId="Verwijzingopmerking">
    <w:name w:val="annotation reference"/>
    <w:basedOn w:val="Standaardalinea-lettertype"/>
    <w:uiPriority w:val="99"/>
    <w:semiHidden/>
    <w:unhideWhenUsed/>
    <w:rsid w:val="005255DD"/>
    <w:rPr>
      <w:sz w:val="16"/>
      <w:szCs w:val="16"/>
    </w:rPr>
  </w:style>
  <w:style w:type="paragraph" w:styleId="Tekstopmerking">
    <w:name w:val="annotation text"/>
    <w:basedOn w:val="Standaard"/>
    <w:link w:val="TekstopmerkingChar"/>
    <w:uiPriority w:val="99"/>
    <w:semiHidden/>
    <w:unhideWhenUsed/>
    <w:rsid w:val="005255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255D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55DD"/>
    <w:rPr>
      <w:b/>
      <w:bCs/>
    </w:rPr>
  </w:style>
  <w:style w:type="character" w:customStyle="1" w:styleId="OnderwerpvanopmerkingChar">
    <w:name w:val="Onderwerp van opmerking Char"/>
    <w:basedOn w:val="TekstopmerkingChar"/>
    <w:link w:val="Onderwerpvanopmerking"/>
    <w:uiPriority w:val="99"/>
    <w:semiHidden/>
    <w:rsid w:val="005255DD"/>
    <w:rPr>
      <w:rFonts w:ascii="Verdana" w:hAnsi="Verdana"/>
      <w:b/>
      <w:bCs/>
      <w:color w:val="000000"/>
    </w:rPr>
  </w:style>
  <w:style w:type="paragraph" w:styleId="Ballontekst">
    <w:name w:val="Balloon Text"/>
    <w:basedOn w:val="Standaard"/>
    <w:link w:val="BallontekstChar"/>
    <w:uiPriority w:val="99"/>
    <w:semiHidden/>
    <w:unhideWhenUsed/>
    <w:rsid w:val="005255D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255DD"/>
    <w:rPr>
      <w:rFonts w:ascii="Segoe UI" w:hAnsi="Segoe UI" w:cs="Segoe UI"/>
      <w:color w:val="000000"/>
      <w:sz w:val="18"/>
      <w:szCs w:val="18"/>
    </w:rPr>
  </w:style>
  <w:style w:type="character" w:customStyle="1" w:styleId="s7">
    <w:name w:val="s7"/>
    <w:basedOn w:val="Standaardalinea-lettertype"/>
    <w:rsid w:val="005255DD"/>
  </w:style>
  <w:style w:type="paragraph" w:customStyle="1" w:styleId="Default">
    <w:name w:val="Default"/>
    <w:rsid w:val="00733FFA"/>
    <w:pPr>
      <w:autoSpaceDE w:val="0"/>
      <w:adjustRightInd w:val="0"/>
      <w:textAlignment w:val="auto"/>
    </w:pPr>
    <w:rPr>
      <w:rFonts w:ascii="Verdana" w:hAnsi="Verdana" w:cs="Verdana"/>
      <w:color w:val="000000"/>
      <w:sz w:val="24"/>
      <w:szCs w:val="24"/>
    </w:rPr>
  </w:style>
  <w:style w:type="paragraph" w:customStyle="1" w:styleId="default0">
    <w:name w:val="default"/>
    <w:basedOn w:val="Standaard"/>
    <w:rsid w:val="00DD3F05"/>
    <w:pPr>
      <w:autoSpaceDE w:val="0"/>
      <w:spacing w:line="240" w:lineRule="auto"/>
      <w:textAlignment w:val="auto"/>
    </w:pPr>
    <w:rPr>
      <w:rFonts w:ascii="Univers LT Std" w:eastAsiaTheme="minorHAnsi" w:hAnsi="Univers LT Std" w:cs="Times New Roman"/>
      <w:sz w:val="24"/>
      <w:szCs w:val="24"/>
    </w:rPr>
  </w:style>
  <w:style w:type="paragraph" w:styleId="Koptekst">
    <w:name w:val="header"/>
    <w:basedOn w:val="Standaard"/>
    <w:link w:val="KoptekstChar"/>
    <w:uiPriority w:val="99"/>
    <w:unhideWhenUsed/>
    <w:rsid w:val="000529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29E8"/>
    <w:rPr>
      <w:rFonts w:ascii="Verdana" w:hAnsi="Verdana"/>
      <w:color w:val="000000"/>
      <w:sz w:val="18"/>
      <w:szCs w:val="18"/>
    </w:rPr>
  </w:style>
  <w:style w:type="paragraph" w:styleId="Voettekst">
    <w:name w:val="footer"/>
    <w:basedOn w:val="Standaard"/>
    <w:link w:val="VoettekstChar"/>
    <w:uiPriority w:val="99"/>
    <w:unhideWhenUsed/>
    <w:rsid w:val="000529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29E8"/>
    <w:rPr>
      <w:rFonts w:ascii="Verdana" w:hAnsi="Verdana"/>
      <w:color w:val="000000"/>
      <w:sz w:val="18"/>
      <w:szCs w:val="18"/>
    </w:rPr>
  </w:style>
  <w:style w:type="paragraph" w:styleId="Revisie">
    <w:name w:val="Revision"/>
    <w:hidden/>
    <w:uiPriority w:val="99"/>
    <w:semiHidden/>
    <w:rsid w:val="0076762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3914">
      <w:bodyDiv w:val="1"/>
      <w:marLeft w:val="0"/>
      <w:marRight w:val="0"/>
      <w:marTop w:val="0"/>
      <w:marBottom w:val="0"/>
      <w:divBdr>
        <w:top w:val="none" w:sz="0" w:space="0" w:color="auto"/>
        <w:left w:val="none" w:sz="0" w:space="0" w:color="auto"/>
        <w:bottom w:val="none" w:sz="0" w:space="0" w:color="auto"/>
        <w:right w:val="none" w:sz="0" w:space="0" w:color="auto"/>
      </w:divBdr>
    </w:div>
    <w:div w:id="271399635">
      <w:bodyDiv w:val="1"/>
      <w:marLeft w:val="0"/>
      <w:marRight w:val="0"/>
      <w:marTop w:val="0"/>
      <w:marBottom w:val="0"/>
      <w:divBdr>
        <w:top w:val="none" w:sz="0" w:space="0" w:color="auto"/>
        <w:left w:val="none" w:sz="0" w:space="0" w:color="auto"/>
        <w:bottom w:val="none" w:sz="0" w:space="0" w:color="auto"/>
        <w:right w:val="none" w:sz="0" w:space="0" w:color="auto"/>
      </w:divBdr>
    </w:div>
    <w:div w:id="317269831">
      <w:bodyDiv w:val="1"/>
      <w:marLeft w:val="0"/>
      <w:marRight w:val="0"/>
      <w:marTop w:val="0"/>
      <w:marBottom w:val="0"/>
      <w:divBdr>
        <w:top w:val="none" w:sz="0" w:space="0" w:color="auto"/>
        <w:left w:val="none" w:sz="0" w:space="0" w:color="auto"/>
        <w:bottom w:val="none" w:sz="0" w:space="0" w:color="auto"/>
        <w:right w:val="none" w:sz="0" w:space="0" w:color="auto"/>
      </w:divBdr>
    </w:div>
    <w:div w:id="719133520">
      <w:bodyDiv w:val="1"/>
      <w:marLeft w:val="0"/>
      <w:marRight w:val="0"/>
      <w:marTop w:val="0"/>
      <w:marBottom w:val="0"/>
      <w:divBdr>
        <w:top w:val="none" w:sz="0" w:space="0" w:color="auto"/>
        <w:left w:val="none" w:sz="0" w:space="0" w:color="auto"/>
        <w:bottom w:val="none" w:sz="0" w:space="0" w:color="auto"/>
        <w:right w:val="none" w:sz="0" w:space="0" w:color="auto"/>
      </w:divBdr>
    </w:div>
    <w:div w:id="1303659072">
      <w:bodyDiv w:val="1"/>
      <w:marLeft w:val="0"/>
      <w:marRight w:val="0"/>
      <w:marTop w:val="0"/>
      <w:marBottom w:val="0"/>
      <w:divBdr>
        <w:top w:val="none" w:sz="0" w:space="0" w:color="auto"/>
        <w:left w:val="none" w:sz="0" w:space="0" w:color="auto"/>
        <w:bottom w:val="none" w:sz="0" w:space="0" w:color="auto"/>
        <w:right w:val="none" w:sz="0" w:space="0" w:color="auto"/>
      </w:divBdr>
    </w:div>
    <w:div w:id="1617640324">
      <w:bodyDiv w:val="1"/>
      <w:marLeft w:val="0"/>
      <w:marRight w:val="0"/>
      <w:marTop w:val="0"/>
      <w:marBottom w:val="0"/>
      <w:divBdr>
        <w:top w:val="none" w:sz="0" w:space="0" w:color="auto"/>
        <w:left w:val="none" w:sz="0" w:space="0" w:color="auto"/>
        <w:bottom w:val="none" w:sz="0" w:space="0" w:color="auto"/>
        <w:right w:val="none" w:sz="0" w:space="0" w:color="auto"/>
      </w:divBdr>
    </w:div>
    <w:div w:id="1690371834">
      <w:bodyDiv w:val="1"/>
      <w:marLeft w:val="0"/>
      <w:marRight w:val="0"/>
      <w:marTop w:val="0"/>
      <w:marBottom w:val="0"/>
      <w:divBdr>
        <w:top w:val="none" w:sz="0" w:space="0" w:color="auto"/>
        <w:left w:val="none" w:sz="0" w:space="0" w:color="auto"/>
        <w:bottom w:val="none" w:sz="0" w:space="0" w:color="auto"/>
        <w:right w:val="none" w:sz="0" w:space="0" w:color="auto"/>
      </w:divBdr>
    </w:div>
    <w:div w:id="173697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hof\AppData\Local\Microsoft\Windows\INetCache\IE\3V28GXTR\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3F48139AF68C46BFBDFE4621C7B1C1" ma:contentTypeVersion="0" ma:contentTypeDescription="Een nieuw document maken." ma:contentTypeScope="" ma:versionID="f4b238847513c3a88d3c1228eddc8e27">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004B8-EA8D-4EB0-9123-67EF6898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EF3F90-1172-4C24-82FB-D40C0DC23F75}">
  <ds:schemaRefs>
    <ds:schemaRef ds:uri="http://schemas.microsoft.com/sharepoint/v3/contenttype/forms"/>
  </ds:schemaRefs>
</ds:datastoreItem>
</file>

<file path=customXml/itemProps3.xml><?xml version="1.0" encoding="utf-8"?>
<ds:datastoreItem xmlns:ds="http://schemas.openxmlformats.org/officeDocument/2006/customXml" ds:itemID="{31C262E7-9D59-4518-BA33-505E25A05CF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A7AFC6E-2FC8-499D-BD4D-C131EDA8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Brief.dotx</Template>
  <TotalTime>0</TotalTime>
  <Pages>5</Pages>
  <Words>1459</Words>
  <Characters>8028</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Imhof, Stijn</dc:creator>
  <cp:lastModifiedBy>Jan van der Lei</cp:lastModifiedBy>
  <cp:revision>2</cp:revision>
  <cp:lastPrinted>2019-12-10T18:31:00Z</cp:lastPrinted>
  <dcterms:created xsi:type="dcterms:W3CDTF">2020-01-06T13:19:00Z</dcterms:created>
  <dcterms:modified xsi:type="dcterms:W3CDTF">2020-01-06T13:19:00Z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korte termijn voorstellen normering</vt:lpwstr>
  </property>
  <property fmtid="{D5CDD505-2E9C-101B-9397-08002B2CF9AE}" pid="4" name="Datum">
    <vt:lpwstr>10 december 2019</vt:lpwstr>
  </property>
  <property fmtid="{D5CDD505-2E9C-101B-9397-08002B2CF9AE}" pid="5" name="Docgensjabloon">
    <vt:lpwstr>DocGen_Brief_nl_NL</vt:lpwstr>
  </property>
  <property fmtid="{D5CDD505-2E9C-101B-9397-08002B2CF9AE}" pid="6" name="Aan">
    <vt:lpwstr/>
  </property>
  <property fmtid="{D5CDD505-2E9C-101B-9397-08002B2CF9AE}" pid="7" name="Kenmerk">
    <vt:lpwstr>2019-0000671314</vt:lpwstr>
  </property>
  <property fmtid="{D5CDD505-2E9C-101B-9397-08002B2CF9AE}" pid="8" name="UwKenmerk">
    <vt:lpwstr/>
  </property>
  <property fmtid="{D5CDD505-2E9C-101B-9397-08002B2CF9AE}" pid="9" name="ContentTypeId">
    <vt:lpwstr>0x0101002D3F48139AF68C46BFBDFE4621C7B1C1</vt:lpwstr>
  </property>
</Properties>
</file>