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EF67" w14:textId="088B9077" w:rsidR="00B14078" w:rsidRPr="00D70F97" w:rsidRDefault="00870CAB">
      <w:pPr>
        <w:rPr>
          <w:b/>
        </w:rPr>
      </w:pPr>
      <w:r w:rsidRPr="00D70F97">
        <w:rPr>
          <w:b/>
        </w:rPr>
        <w:t xml:space="preserve">Addendum </w:t>
      </w:r>
      <w:r w:rsidR="00B9256A">
        <w:rPr>
          <w:b/>
        </w:rPr>
        <w:t>bij de overeenkomst specialistische begeleiding</w:t>
      </w:r>
      <w:r w:rsidRPr="00D70F97">
        <w:rPr>
          <w:b/>
        </w:rPr>
        <w:t xml:space="preserve"> ZG</w:t>
      </w:r>
    </w:p>
    <w:p w14:paraId="79F0D0C0" w14:textId="77777777" w:rsidR="00035315" w:rsidRDefault="00035315"/>
    <w:p w14:paraId="40208357" w14:textId="27A81C6E" w:rsidR="00A50DBD" w:rsidRDefault="00A50DBD">
      <w:r>
        <w:t>Ingangsdatum: 1 januari 2016 (na besluitvorming)</w:t>
      </w:r>
    </w:p>
    <w:p w14:paraId="5F86FAD7" w14:textId="6D31D1F6" w:rsidR="00A50DBD" w:rsidRDefault="00A50DBD">
      <w:r>
        <w:t>Geldt tot: eindduur van de overeenkomst, namelijk 1 januari 2018</w:t>
      </w:r>
    </w:p>
    <w:p w14:paraId="3A5B66E4" w14:textId="77777777" w:rsidR="00A50DBD" w:rsidRDefault="00A50DBD"/>
    <w:p w14:paraId="72C91A80" w14:textId="6E1F2090" w:rsidR="00AC54E0" w:rsidRDefault="00AC54E0">
      <w:r>
        <w:t>Dit addendum is bedoeld ter ondersteuning van de administratieve afspraken tussen gemeenten en aanbieders handelend onder genoemde raamovereenkomst. Het ziet toe op het via elektronische weg toewijzen en declareren van de specialistische begeleiding ZG. Het addendum volgt hierin de landelijke standaardartikelen administratieve processen Wmo en Jeugdwet</w:t>
      </w:r>
      <w:r w:rsidR="00647225">
        <w:t>. De belangr</w:t>
      </w:r>
      <w:r w:rsidR="00FF5ECB">
        <w:t>ijkste artikelen die van toepassing zijn op de overeenkomst zijn in dit addendum overgenomen</w:t>
      </w:r>
      <w:r w:rsidR="00647225">
        <w:t xml:space="preserve">. Daarnaast zijn enkele artikelen toegevoegd specifiek voor de overeenkomst specialistische begeleiding ZG. </w:t>
      </w:r>
    </w:p>
    <w:p w14:paraId="280AA14E" w14:textId="77777777" w:rsidR="00AC54E0" w:rsidRDefault="00AC54E0"/>
    <w:p w14:paraId="34B80E6F" w14:textId="00CAAA38" w:rsidR="00303D6E" w:rsidRPr="00035315" w:rsidRDefault="00035315">
      <w:pPr>
        <w:rPr>
          <w:b/>
        </w:rPr>
      </w:pPr>
      <w:r w:rsidRPr="00035315">
        <w:rPr>
          <w:b/>
        </w:rPr>
        <w:t>Begrippen</w:t>
      </w:r>
    </w:p>
    <w:p w14:paraId="1DA07D80" w14:textId="346C7F80" w:rsidR="00DD1D97" w:rsidRDefault="00DD1D97">
      <w:r>
        <w:t xml:space="preserve">Nadere toelichting begrippen toegepast in dit addendum: </w:t>
      </w:r>
    </w:p>
    <w:p w14:paraId="16163585" w14:textId="5C50F9EB" w:rsidR="005A6024" w:rsidRDefault="005A6024">
      <w:r w:rsidRPr="005A6024">
        <w:rPr>
          <w:i/>
        </w:rPr>
        <w:t>Aanbieder</w:t>
      </w:r>
      <w:r>
        <w:t xml:space="preserve"> = de landelijk gecontracteerde aanbieder van ZG ondersteuning handelend onder genoemde raamovereenkomst.</w:t>
      </w:r>
    </w:p>
    <w:p w14:paraId="7BF35AC3" w14:textId="77777777" w:rsidR="005A6024" w:rsidRDefault="005A6024"/>
    <w:p w14:paraId="7E9AA898" w14:textId="5EC334E5" w:rsidR="00B9256A" w:rsidRDefault="00B9256A">
      <w:proofErr w:type="spellStart"/>
      <w:r w:rsidRPr="00035315">
        <w:rPr>
          <w:i/>
        </w:rPr>
        <w:t>iWmo</w:t>
      </w:r>
      <w:proofErr w:type="spellEnd"/>
      <w:r>
        <w:t xml:space="preserve"> = </w:t>
      </w:r>
      <w:r w:rsidR="00DD1D97">
        <w:t xml:space="preserve">berichtenstandaard met bijbehorende afspraken voor het uitwisselen van gegevens tussen gemeenten en aanbieders. Zie voor meer informatie: </w:t>
      </w:r>
      <w:hyperlink r:id="rId7" w:history="1">
        <w:r w:rsidR="005A6024" w:rsidRPr="00035D6E">
          <w:rPr>
            <w:rStyle w:val="Hyperlink"/>
          </w:rPr>
          <w:t>www.istandaarden.nl</w:t>
        </w:r>
      </w:hyperlink>
      <w:r w:rsidR="005A6024">
        <w:t xml:space="preserve"> </w:t>
      </w:r>
      <w:r w:rsidR="00DD1D97">
        <w:t xml:space="preserve"> </w:t>
      </w:r>
    </w:p>
    <w:p w14:paraId="26854E9D" w14:textId="77777777" w:rsidR="00035315" w:rsidRDefault="00035315">
      <w:pPr>
        <w:rPr>
          <w:i/>
        </w:rPr>
      </w:pPr>
    </w:p>
    <w:p w14:paraId="0E42DBDD" w14:textId="01D11015" w:rsidR="00B9256A" w:rsidRDefault="00B9256A">
      <w:r w:rsidRPr="00035315">
        <w:rPr>
          <w:i/>
        </w:rPr>
        <w:t>Toewijzing</w:t>
      </w:r>
      <w:r>
        <w:t xml:space="preserve"> =</w:t>
      </w:r>
      <w:r w:rsidR="00DD1D97">
        <w:t xml:space="preserve"> </w:t>
      </w:r>
      <w:r w:rsidR="00DD1D97" w:rsidRPr="00DD1D97">
        <w:t>De opdracht van de gemeente aan de aanbieder om de ondersteuning te bieden.</w:t>
      </w:r>
      <w:r w:rsidR="00DD1D97">
        <w:t xml:space="preserve"> Binnen </w:t>
      </w:r>
      <w:proofErr w:type="spellStart"/>
      <w:r w:rsidR="00DD1D97">
        <w:t>iWmo</w:t>
      </w:r>
      <w:proofErr w:type="spellEnd"/>
      <w:r w:rsidR="00DD1D97">
        <w:t xml:space="preserve"> </w:t>
      </w:r>
      <w:r w:rsidR="007957A8">
        <w:t>wordt hiervoor het bericht</w:t>
      </w:r>
      <w:r w:rsidR="00DD1D97">
        <w:t xml:space="preserve"> WMO301</w:t>
      </w:r>
      <w:r w:rsidR="007957A8">
        <w:t xml:space="preserve"> gebruikt</w:t>
      </w:r>
      <w:r w:rsidR="00DD1D97">
        <w:t>.</w:t>
      </w:r>
    </w:p>
    <w:p w14:paraId="63259B99" w14:textId="77777777" w:rsidR="00035315" w:rsidRDefault="00035315" w:rsidP="00035315">
      <w:pPr>
        <w:rPr>
          <w:i/>
        </w:rPr>
      </w:pPr>
    </w:p>
    <w:p w14:paraId="07120D22" w14:textId="01E40CA1" w:rsidR="00035315" w:rsidRPr="00035315" w:rsidRDefault="00035315" w:rsidP="00035315">
      <w:r>
        <w:rPr>
          <w:i/>
        </w:rPr>
        <w:t xml:space="preserve">Declaratie of factuur = </w:t>
      </w:r>
    </w:p>
    <w:p w14:paraId="2AC690F4" w14:textId="24C5409A" w:rsidR="00035315" w:rsidRPr="00035315" w:rsidRDefault="00035315" w:rsidP="00035315">
      <w:r w:rsidRPr="00035315">
        <w:t>- Een declaratie is een verantwoordingsdocument waarin geleverde dienst / product wordt</w:t>
      </w:r>
      <w:r w:rsidR="005A6024">
        <w:t xml:space="preserve"> </w:t>
      </w:r>
      <w:r w:rsidRPr="00035315">
        <w:t>weergegeven.</w:t>
      </w:r>
    </w:p>
    <w:p w14:paraId="1EB3AB92" w14:textId="59FD7C96" w:rsidR="00035315" w:rsidRPr="00035315" w:rsidRDefault="00035315" w:rsidP="00035315">
      <w:r w:rsidRPr="00035315">
        <w:t>- Een factuur is een formeel financieel administratief document (met wettelijke eisen)</w:t>
      </w:r>
      <w:r w:rsidR="005A6024">
        <w:t>.</w:t>
      </w:r>
    </w:p>
    <w:p w14:paraId="61A5FC8E" w14:textId="77777777" w:rsidR="005A6024" w:rsidRDefault="005A6024" w:rsidP="005A6024">
      <w:r>
        <w:t xml:space="preserve">In het berichtenverkeer iWmo2.0 is het mogelijk om in onderlinge afspraak te kiezen tussen: </w:t>
      </w:r>
    </w:p>
    <w:p w14:paraId="37D6C840" w14:textId="77777777" w:rsidR="005A6024" w:rsidRPr="00842650" w:rsidRDefault="005A6024" w:rsidP="005A6024">
      <w:r w:rsidRPr="00842650">
        <w:t>1) Declaratie - bericht WMO30</w:t>
      </w:r>
      <w:r>
        <w:t>3</w:t>
      </w:r>
      <w:r w:rsidRPr="00842650">
        <w:t>d</w:t>
      </w:r>
      <w:r>
        <w:t>.</w:t>
      </w:r>
    </w:p>
    <w:p w14:paraId="45CD11F9" w14:textId="77777777" w:rsidR="005A6024" w:rsidRDefault="005A6024" w:rsidP="005A6024">
      <w:pPr>
        <w:rPr>
          <w:rFonts w:asciiTheme="majorHAnsi" w:hAnsiTheme="majorHAnsi"/>
        </w:rPr>
      </w:pPr>
      <w:r w:rsidRPr="00842650">
        <w:t>2) Facturatie  - bericht WMO303f.</w:t>
      </w:r>
      <w:r w:rsidRPr="00C21F64">
        <w:rPr>
          <w:rFonts w:asciiTheme="majorHAnsi" w:hAnsiTheme="majorHAnsi"/>
        </w:rPr>
        <w:t xml:space="preserve"> </w:t>
      </w:r>
    </w:p>
    <w:p w14:paraId="67374550" w14:textId="028E1F6D" w:rsidR="005A6024" w:rsidRPr="009A37B8" w:rsidRDefault="005A6024" w:rsidP="005A6024">
      <w:pPr>
        <w:rPr>
          <w:rFonts w:asciiTheme="majorHAnsi" w:hAnsiTheme="majorHAnsi"/>
        </w:rPr>
      </w:pPr>
      <w:r>
        <w:t xml:space="preserve">De ambitie van de VNG, gemeenten en landelijke aanbieders ZG is toe te werken naar het gebruik van het facturatiebericht. Om pragmatische redenen is er nu voor gekozen het al bekende declaratiebericht te gebruiken. </w:t>
      </w:r>
    </w:p>
    <w:p w14:paraId="396C1154" w14:textId="0F00D610" w:rsidR="00B9256A" w:rsidRPr="00035315" w:rsidRDefault="005A6024" w:rsidP="00035315">
      <w:r>
        <w:t xml:space="preserve">Zie ook: </w:t>
      </w:r>
      <w:hyperlink r:id="rId8" w:history="1">
        <w:r w:rsidR="00035315" w:rsidRPr="00035D6E">
          <w:rPr>
            <w:rStyle w:val="Hyperlink"/>
          </w:rPr>
          <w:t>https://vng.nl/files/vng/publicaties/2015/isd-handreiking-declaratie-en-factuur-v2.0-20151105.pdf</w:t>
        </w:r>
      </w:hyperlink>
      <w:r w:rsidR="00035315">
        <w:t xml:space="preserve"> </w:t>
      </w:r>
    </w:p>
    <w:p w14:paraId="16C42A62" w14:textId="77777777" w:rsidR="00B9256A" w:rsidRDefault="00B9256A"/>
    <w:p w14:paraId="15A8B925" w14:textId="523F19D4" w:rsidR="007E2FE5" w:rsidRDefault="00B9256A">
      <w:r>
        <w:t>Dit a</w:t>
      </w:r>
      <w:r w:rsidR="007E2FE5">
        <w:t xml:space="preserve">ddendum </w:t>
      </w:r>
      <w:r>
        <w:t xml:space="preserve">ziet vooral toe </w:t>
      </w:r>
      <w:r w:rsidR="007E2FE5">
        <w:t xml:space="preserve">op </w:t>
      </w:r>
      <w:r w:rsidR="00C16584">
        <w:t xml:space="preserve">Annex 1 punt 9, </w:t>
      </w:r>
      <w:r>
        <w:t>10</w:t>
      </w:r>
      <w:r w:rsidR="00C16584">
        <w:t xml:space="preserve"> en 13</w:t>
      </w:r>
      <w:r w:rsidR="00BE0618">
        <w:t xml:space="preserve"> bij de overeenkomst specialistische begeleiding ZG</w:t>
      </w:r>
      <w:r>
        <w:t xml:space="preserve">. De volgende bepalingen worden hieraan toegevoegd: </w:t>
      </w:r>
    </w:p>
    <w:p w14:paraId="64068254" w14:textId="77777777" w:rsidR="00647225" w:rsidRDefault="00647225"/>
    <w:p w14:paraId="3F818726" w14:textId="77777777" w:rsidR="00B23F54" w:rsidRDefault="00B23F54">
      <w:pPr>
        <w:rPr>
          <w:b/>
        </w:rPr>
      </w:pPr>
    </w:p>
    <w:p w14:paraId="672A8FAC" w14:textId="77777777" w:rsidR="00B23F54" w:rsidRDefault="00B23F54">
      <w:pPr>
        <w:rPr>
          <w:b/>
        </w:rPr>
      </w:pPr>
    </w:p>
    <w:p w14:paraId="66D6B5A3" w14:textId="77777777" w:rsidR="00B23F54" w:rsidRDefault="00B23F54">
      <w:pPr>
        <w:rPr>
          <w:b/>
        </w:rPr>
      </w:pPr>
    </w:p>
    <w:p w14:paraId="62736759" w14:textId="4D39F0D6" w:rsidR="00C16584" w:rsidRPr="00C16584" w:rsidRDefault="00EE0C01">
      <w:pPr>
        <w:rPr>
          <w:b/>
        </w:rPr>
      </w:pPr>
      <w:r>
        <w:rPr>
          <w:b/>
        </w:rPr>
        <w:lastRenderedPageBreak/>
        <w:t xml:space="preserve">Artikel </w:t>
      </w:r>
      <w:r w:rsidR="00C16584" w:rsidRPr="00C16584">
        <w:rPr>
          <w:b/>
        </w:rPr>
        <w:t xml:space="preserve">1. </w:t>
      </w:r>
      <w:proofErr w:type="spellStart"/>
      <w:r w:rsidR="00C16584" w:rsidRPr="00C16584">
        <w:rPr>
          <w:b/>
        </w:rPr>
        <w:t>iWmo</w:t>
      </w:r>
      <w:proofErr w:type="spellEnd"/>
      <w:r w:rsidR="00FF5ECB">
        <w:rPr>
          <w:b/>
        </w:rPr>
        <w:t xml:space="preserve"> (landelijke berichtenstelsel)</w:t>
      </w:r>
    </w:p>
    <w:p w14:paraId="2077E7A5" w14:textId="2E20D125" w:rsidR="004D2667" w:rsidRDefault="005456FC" w:rsidP="004D2667">
      <w:r>
        <w:t xml:space="preserve">Artikel 1.1 </w:t>
      </w:r>
      <w:r>
        <w:tab/>
        <w:t>Gemeente</w:t>
      </w:r>
      <w:r w:rsidR="004D2667">
        <w:t xml:space="preserve"> en </w:t>
      </w:r>
      <w:r>
        <w:t>Aanbieder</w:t>
      </w:r>
      <w:r w:rsidR="004D2667">
        <w:t xml:space="preserve"> maken in 2016 en 2017 integraal gebruik van de landelijk gedefinieerde informatiestandaarden op het gebied van zorg en ondersteuning  zoals die per 1 januari 2016 beschikbaar zijn, bestaande uit:</w:t>
      </w:r>
    </w:p>
    <w:p w14:paraId="32FE5725" w14:textId="7D45BF11" w:rsidR="004D2667" w:rsidRDefault="004D2667" w:rsidP="004D2667">
      <w:pPr>
        <w:pStyle w:val="Lijstalinea"/>
        <w:numPr>
          <w:ilvl w:val="0"/>
          <w:numId w:val="1"/>
        </w:numPr>
      </w:pPr>
      <w:r>
        <w:t xml:space="preserve">Het berichtenverkeer </w:t>
      </w:r>
      <w:proofErr w:type="spellStart"/>
      <w:r>
        <w:t>iWmo</w:t>
      </w:r>
      <w:proofErr w:type="spellEnd"/>
      <w:r>
        <w:t xml:space="preserve"> 2.0, dan wel opvolgende versie(s).</w:t>
      </w:r>
    </w:p>
    <w:p w14:paraId="6261F4BD" w14:textId="390C48C8" w:rsidR="004D2667" w:rsidRDefault="004D2667" w:rsidP="004D2667">
      <w:pPr>
        <w:pStyle w:val="Lijstalinea"/>
        <w:numPr>
          <w:ilvl w:val="0"/>
          <w:numId w:val="1"/>
        </w:numPr>
      </w:pPr>
      <w:r>
        <w:t xml:space="preserve">De administratieve processen en afspraken </w:t>
      </w:r>
      <w:r w:rsidR="005A6024">
        <w:t>zoals beschreven voor</w:t>
      </w:r>
      <w:r w:rsidR="00B90AE5">
        <w:t xml:space="preserve"> de uitvoeringsvariant inspanningsgericht</w:t>
      </w:r>
      <w:r w:rsidR="005A6024">
        <w:t xml:space="preserve">, zie ook: </w:t>
      </w:r>
    </w:p>
    <w:p w14:paraId="62F6EFBE" w14:textId="2750FE8B" w:rsidR="004D2667" w:rsidRDefault="004D2667" w:rsidP="004D2667">
      <w:pPr>
        <w:pStyle w:val="Lijstalinea"/>
        <w:numPr>
          <w:ilvl w:val="0"/>
          <w:numId w:val="1"/>
        </w:numPr>
      </w:pPr>
      <w:r>
        <w:t xml:space="preserve">De landelijke vastgestelde lijst met productcodes voor de </w:t>
      </w:r>
      <w:proofErr w:type="spellStart"/>
      <w:r>
        <w:t>iWmo</w:t>
      </w:r>
      <w:proofErr w:type="spellEnd"/>
      <w:r>
        <w:t xml:space="preserve"> 2.0</w:t>
      </w:r>
      <w:r w:rsidR="00B90AE5">
        <w:t xml:space="preserve"> (zie ook artikel 1.7)</w:t>
      </w:r>
      <w:r>
        <w:t>.</w:t>
      </w:r>
    </w:p>
    <w:p w14:paraId="36583A3E" w14:textId="77777777" w:rsidR="004D2667" w:rsidRDefault="004D2667" w:rsidP="004D2667"/>
    <w:p w14:paraId="71BF3DC7" w14:textId="3606E877" w:rsidR="004D2667" w:rsidRDefault="004D2667" w:rsidP="004D2667">
      <w:r>
        <w:t>Artikel 1.2</w:t>
      </w:r>
      <w:r>
        <w:tab/>
        <w:t xml:space="preserve">Gemeente en </w:t>
      </w:r>
      <w:r w:rsidR="005456FC">
        <w:t>Aanbieder</w:t>
      </w:r>
      <w:r>
        <w:t xml:space="preserve"> wisselen berichten, zoals bedoeld in artikel 1.1, enkel uit via de landelijke infrastructuur, dus met gebruikmaking van de knooppunten Gemeentelijk Gegevensknooppunt en/of VECOZO Schakelpunt.</w:t>
      </w:r>
    </w:p>
    <w:p w14:paraId="50B1F2A7" w14:textId="77777777" w:rsidR="004D2667" w:rsidRDefault="004D2667" w:rsidP="004D2667"/>
    <w:p w14:paraId="55B6D825" w14:textId="68108AD0" w:rsidR="004D2667" w:rsidRDefault="004D2667" w:rsidP="004D2667">
      <w:r>
        <w:t>Artikel 1.3</w:t>
      </w:r>
      <w:r>
        <w:tab/>
      </w:r>
      <w:r w:rsidR="005456FC">
        <w:t>Gemeente</w:t>
      </w:r>
      <w:r>
        <w:t xml:space="preserve"> en </w:t>
      </w:r>
      <w:r w:rsidR="005456FC">
        <w:t>Aanbieder</w:t>
      </w:r>
      <w:r>
        <w:t xml:space="preserve"> nemen in acht dat de invoering/implementatie van </w:t>
      </w:r>
      <w:proofErr w:type="spellStart"/>
      <w:r>
        <w:t>iWmo</w:t>
      </w:r>
      <w:proofErr w:type="spellEnd"/>
      <w:r>
        <w:t xml:space="preserve"> 2.0 in de periode 1 januari 2016 tot en met 31 maart 2016 plaats vindt. De artikelen </w:t>
      </w:r>
      <w:r w:rsidR="00AE0736">
        <w:t>die alleen uitgevoerd kunnen worden met behulp van</w:t>
      </w:r>
      <w:r>
        <w:t xml:space="preserve"> de </w:t>
      </w:r>
      <w:proofErr w:type="spellStart"/>
      <w:r>
        <w:t>iWmo</w:t>
      </w:r>
      <w:proofErr w:type="spellEnd"/>
      <w:r>
        <w:t xml:space="preserve"> 2.0 standaard zijn pas van toepassing in deze Overeenkomst na deze implementatie.</w:t>
      </w:r>
    </w:p>
    <w:p w14:paraId="099B3117" w14:textId="77777777" w:rsidR="00D70F97" w:rsidRDefault="00D70F97"/>
    <w:p w14:paraId="21B6E7F8" w14:textId="46831C1D" w:rsidR="00870CAB" w:rsidRDefault="004D2667">
      <w:r>
        <w:t xml:space="preserve">Artikel </w:t>
      </w:r>
      <w:r w:rsidR="00C16584">
        <w:t>1</w:t>
      </w:r>
      <w:r>
        <w:t>.4</w:t>
      </w:r>
      <w:r w:rsidR="00C16584">
        <w:t xml:space="preserve"> </w:t>
      </w:r>
      <w:r>
        <w:tab/>
      </w:r>
      <w:r w:rsidR="00D70F97">
        <w:t>Indien</w:t>
      </w:r>
      <w:r>
        <w:t xml:space="preserve"> in onderling overleg (tijdelijk)</w:t>
      </w:r>
      <w:r w:rsidR="00D70F97">
        <w:t xml:space="preserve"> een ander</w:t>
      </w:r>
      <w:r w:rsidR="00870CAB">
        <w:t xml:space="preserve"> format</w:t>
      </w:r>
      <w:r w:rsidR="00D70F97">
        <w:t xml:space="preserve"> dan het elektronisch berichtenverkeer wordt gebruikt (bijv</w:t>
      </w:r>
      <w:r>
        <w:t>oorbeeld</w:t>
      </w:r>
      <w:r w:rsidR="00D70F97">
        <w:t xml:space="preserve"> pdf of </w:t>
      </w:r>
      <w:proofErr w:type="spellStart"/>
      <w:r w:rsidR="00D70F97">
        <w:t>excel</w:t>
      </w:r>
      <w:proofErr w:type="spellEnd"/>
      <w:r w:rsidR="00D70F97">
        <w:t>), dan</w:t>
      </w:r>
      <w:r w:rsidR="00870CAB">
        <w:t xml:space="preserve"> maakt </w:t>
      </w:r>
      <w:r w:rsidR="00D70F97">
        <w:t xml:space="preserve">dit format </w:t>
      </w:r>
      <w:r w:rsidR="00870CAB">
        <w:t xml:space="preserve">altijd </w:t>
      </w:r>
      <w:r w:rsidR="00D47C0B">
        <w:t xml:space="preserve">gebruik van dezelfde </w:t>
      </w:r>
      <w:r w:rsidR="00870CAB">
        <w:t>gegevens(-elementen)</w:t>
      </w:r>
      <w:r w:rsidR="007E2FE5">
        <w:t>,</w:t>
      </w:r>
      <w:r w:rsidR="00870CAB">
        <w:t xml:space="preserve"> die toegepast worden in de </w:t>
      </w:r>
      <w:proofErr w:type="spellStart"/>
      <w:r w:rsidR="00870CAB">
        <w:t>iWmo</w:t>
      </w:r>
      <w:proofErr w:type="spellEnd"/>
      <w:r w:rsidR="00870CAB">
        <w:t xml:space="preserve"> </w:t>
      </w:r>
      <w:r>
        <w:t>2.0 standaard</w:t>
      </w:r>
      <w:r w:rsidR="00870CAB">
        <w:t>. Bij de uitwisseling van gegevens in e</w:t>
      </w:r>
      <w:r w:rsidR="007E2FE5">
        <w:t xml:space="preserve">en ander format worden </w:t>
      </w:r>
      <w:r w:rsidR="00870CAB">
        <w:t xml:space="preserve">zoveel als mogelijk </w:t>
      </w:r>
      <w:r w:rsidR="00D70F97">
        <w:t xml:space="preserve">de hier </w:t>
      </w:r>
      <w:r w:rsidR="00870CAB">
        <w:t>onderstaande afspraken nageleefd</w:t>
      </w:r>
      <w:r w:rsidR="003B28AD">
        <w:t xml:space="preserve"> en vindt </w:t>
      </w:r>
      <w:r w:rsidR="00455860">
        <w:t>beveiliging op een niveau</w:t>
      </w:r>
      <w:r w:rsidR="003B28AD">
        <w:t xml:space="preserve"> dat adequaat is voor deze gegevens (</w:t>
      </w:r>
      <w:r w:rsidR="005456FC">
        <w:t>zie artikel 4</w:t>
      </w:r>
      <w:r w:rsidR="003B28AD">
        <w:t>)</w:t>
      </w:r>
      <w:r w:rsidR="00870CAB">
        <w:t>.</w:t>
      </w:r>
    </w:p>
    <w:p w14:paraId="68A2E7E4" w14:textId="77777777" w:rsidR="00C16584" w:rsidRDefault="00C16584" w:rsidP="00C16584"/>
    <w:p w14:paraId="0243A522" w14:textId="022D3D9B" w:rsidR="00C16584" w:rsidRDefault="004D2667" w:rsidP="00C16584">
      <w:r>
        <w:t>Artikel 1.5</w:t>
      </w:r>
      <w:r>
        <w:tab/>
      </w:r>
      <w:r w:rsidR="00C16584">
        <w:t xml:space="preserve"> Voor het versturen van toewijzingen </w:t>
      </w:r>
      <w:r>
        <w:t xml:space="preserve">(WMO301) </w:t>
      </w:r>
      <w:r w:rsidR="00C16584">
        <w:t xml:space="preserve">en retourberichten op een declaratie </w:t>
      </w:r>
      <w:r>
        <w:t>(WMO30</w:t>
      </w:r>
      <w:r w:rsidR="00455860">
        <w:t>4</w:t>
      </w:r>
      <w:r>
        <w:t xml:space="preserve">) </w:t>
      </w:r>
      <w:r w:rsidR="005456FC">
        <w:t xml:space="preserve">middels </w:t>
      </w:r>
      <w:proofErr w:type="spellStart"/>
      <w:r w:rsidR="005456FC">
        <w:t>iWmo</w:t>
      </w:r>
      <w:proofErr w:type="spellEnd"/>
      <w:r w:rsidR="005456FC">
        <w:t xml:space="preserve"> gebruikt de Gemeente</w:t>
      </w:r>
      <w:r w:rsidR="00C16584">
        <w:t xml:space="preserve"> de volgende AGB codes ter adressering in berichten aan de gekozen </w:t>
      </w:r>
      <w:r w:rsidR="005456FC">
        <w:t>Aanbieder</w:t>
      </w:r>
      <w:r w:rsidR="00C16584">
        <w:t>:</w:t>
      </w:r>
    </w:p>
    <w:p w14:paraId="4FDF76FA" w14:textId="77777777" w:rsidR="005249ED" w:rsidRDefault="005249ED" w:rsidP="00C16584"/>
    <w:tbl>
      <w:tblPr>
        <w:tblStyle w:val="Tabelraster"/>
        <w:tblW w:w="0" w:type="auto"/>
        <w:tblLook w:val="04A0" w:firstRow="1" w:lastRow="0" w:firstColumn="1" w:lastColumn="0" w:noHBand="0" w:noVBand="1"/>
      </w:tblPr>
      <w:tblGrid>
        <w:gridCol w:w="4258"/>
        <w:gridCol w:w="4258"/>
      </w:tblGrid>
      <w:tr w:rsidR="005249ED" w:rsidRPr="005249ED" w14:paraId="022C7836" w14:textId="77777777" w:rsidTr="005249ED">
        <w:tc>
          <w:tcPr>
            <w:tcW w:w="4258" w:type="dxa"/>
          </w:tcPr>
          <w:p w14:paraId="2F68C296" w14:textId="6073A721" w:rsidR="005249ED" w:rsidRPr="005249ED" w:rsidRDefault="005249ED" w:rsidP="00C16584">
            <w:pPr>
              <w:rPr>
                <w:b/>
              </w:rPr>
            </w:pPr>
            <w:r w:rsidRPr="005249ED">
              <w:rPr>
                <w:b/>
              </w:rPr>
              <w:t>Aanbieder ZG</w:t>
            </w:r>
          </w:p>
        </w:tc>
        <w:tc>
          <w:tcPr>
            <w:tcW w:w="4258" w:type="dxa"/>
          </w:tcPr>
          <w:p w14:paraId="60FDC2F1" w14:textId="7880B3C9" w:rsidR="005249ED" w:rsidRPr="005249ED" w:rsidRDefault="00541365" w:rsidP="00C16584">
            <w:pPr>
              <w:rPr>
                <w:b/>
              </w:rPr>
            </w:pPr>
            <w:r>
              <w:rPr>
                <w:b/>
              </w:rPr>
              <w:t xml:space="preserve">AGB code </w:t>
            </w:r>
            <w:r w:rsidR="005249ED" w:rsidRPr="005249ED">
              <w:rPr>
                <w:b/>
              </w:rPr>
              <w:t xml:space="preserve">voor </w:t>
            </w:r>
            <w:proofErr w:type="spellStart"/>
            <w:r w:rsidR="005249ED" w:rsidRPr="005249ED">
              <w:rPr>
                <w:b/>
              </w:rPr>
              <w:t>iWmo</w:t>
            </w:r>
            <w:proofErr w:type="spellEnd"/>
          </w:p>
        </w:tc>
      </w:tr>
      <w:tr w:rsidR="00541365" w14:paraId="6B2E2C15" w14:textId="77777777" w:rsidTr="005249ED">
        <w:tc>
          <w:tcPr>
            <w:tcW w:w="4258" w:type="dxa"/>
          </w:tcPr>
          <w:p w14:paraId="7F0C6F3A" w14:textId="5946FE1F" w:rsidR="00541365" w:rsidRDefault="00541365" w:rsidP="00C16584">
            <w:proofErr w:type="spellStart"/>
            <w:r w:rsidRPr="001E4308">
              <w:t>Bartimeus</w:t>
            </w:r>
            <w:proofErr w:type="spellEnd"/>
          </w:p>
        </w:tc>
        <w:tc>
          <w:tcPr>
            <w:tcW w:w="4258" w:type="dxa"/>
          </w:tcPr>
          <w:p w14:paraId="1B140C72" w14:textId="3EBB593B" w:rsidR="00541365" w:rsidRDefault="00AA438D" w:rsidP="00C16584">
            <w:r>
              <w:t>66660937</w:t>
            </w:r>
          </w:p>
        </w:tc>
      </w:tr>
      <w:tr w:rsidR="00541365" w14:paraId="4F75E742" w14:textId="77777777" w:rsidTr="005249ED">
        <w:tc>
          <w:tcPr>
            <w:tcW w:w="4258" w:type="dxa"/>
          </w:tcPr>
          <w:p w14:paraId="655E0415" w14:textId="138FBE0F" w:rsidR="00541365" w:rsidRDefault="00541365" w:rsidP="00C16584">
            <w:r w:rsidRPr="001E4308">
              <w:t>De Noorderbrug</w:t>
            </w:r>
          </w:p>
        </w:tc>
        <w:tc>
          <w:tcPr>
            <w:tcW w:w="4258" w:type="dxa"/>
          </w:tcPr>
          <w:p w14:paraId="62CF8D8B" w14:textId="5758E24E" w:rsidR="00541365" w:rsidRDefault="0003437D" w:rsidP="00C16584">
            <w:r w:rsidRPr="0003437D">
              <w:t>65657007</w:t>
            </w:r>
          </w:p>
        </w:tc>
      </w:tr>
      <w:tr w:rsidR="00541365" w14:paraId="30CBA014" w14:textId="77777777" w:rsidTr="005249ED">
        <w:tc>
          <w:tcPr>
            <w:tcW w:w="4258" w:type="dxa"/>
          </w:tcPr>
          <w:p w14:paraId="7935C00A" w14:textId="0C7B1447" w:rsidR="00541365" w:rsidRDefault="00541365" w:rsidP="00C16584">
            <w:r w:rsidRPr="001E4308">
              <w:t xml:space="preserve">Koninklijke Visio </w:t>
            </w:r>
          </w:p>
        </w:tc>
        <w:tc>
          <w:tcPr>
            <w:tcW w:w="4258" w:type="dxa"/>
          </w:tcPr>
          <w:p w14:paraId="1E154382" w14:textId="768A834B" w:rsidR="00541365" w:rsidRDefault="002628EC" w:rsidP="00C16584">
            <w:r w:rsidRPr="002628EC">
              <w:t>41411113</w:t>
            </w:r>
          </w:p>
        </w:tc>
      </w:tr>
      <w:tr w:rsidR="00541365" w14:paraId="76E5BF7D" w14:textId="77777777" w:rsidTr="005249ED">
        <w:tc>
          <w:tcPr>
            <w:tcW w:w="4258" w:type="dxa"/>
          </w:tcPr>
          <w:p w14:paraId="0EC8EE8B" w14:textId="68C59E90" w:rsidR="00541365" w:rsidRDefault="00541365" w:rsidP="00C16584">
            <w:proofErr w:type="spellStart"/>
            <w:r w:rsidRPr="001E4308">
              <w:t>Kalorama</w:t>
            </w:r>
            <w:proofErr w:type="spellEnd"/>
          </w:p>
        </w:tc>
        <w:tc>
          <w:tcPr>
            <w:tcW w:w="4258" w:type="dxa"/>
          </w:tcPr>
          <w:p w14:paraId="4D7404B7" w14:textId="15DB7896" w:rsidR="00541365" w:rsidRDefault="00727571" w:rsidP="00C16584">
            <w:r w:rsidRPr="00727571">
              <w:t>47471045</w:t>
            </w:r>
          </w:p>
        </w:tc>
      </w:tr>
      <w:tr w:rsidR="00541365" w14:paraId="6F646D10" w14:textId="77777777" w:rsidTr="005249ED">
        <w:tc>
          <w:tcPr>
            <w:tcW w:w="4258" w:type="dxa"/>
          </w:tcPr>
          <w:p w14:paraId="66F00489" w14:textId="0060F20D" w:rsidR="00541365" w:rsidRDefault="00541365" w:rsidP="00C16584">
            <w:r w:rsidRPr="001E4308">
              <w:t>De Gelderhorst</w:t>
            </w:r>
          </w:p>
        </w:tc>
        <w:tc>
          <w:tcPr>
            <w:tcW w:w="4258" w:type="dxa"/>
          </w:tcPr>
          <w:p w14:paraId="20EAEBCA" w14:textId="1255D565" w:rsidR="00541365" w:rsidRDefault="00215E5C" w:rsidP="00C16584">
            <w:r>
              <w:t>42421348</w:t>
            </w:r>
          </w:p>
        </w:tc>
      </w:tr>
      <w:tr w:rsidR="00541365" w14:paraId="477A5C3A" w14:textId="77777777" w:rsidTr="005249ED">
        <w:tc>
          <w:tcPr>
            <w:tcW w:w="4258" w:type="dxa"/>
          </w:tcPr>
          <w:p w14:paraId="7AB8DFFE" w14:textId="22329A3E" w:rsidR="00541365" w:rsidRDefault="00541365" w:rsidP="00C16584">
            <w:r w:rsidRPr="001E4308">
              <w:t xml:space="preserve">Robert </w:t>
            </w:r>
            <w:proofErr w:type="spellStart"/>
            <w:r w:rsidRPr="001E4308">
              <w:t>Coppes</w:t>
            </w:r>
            <w:proofErr w:type="spellEnd"/>
            <w:r w:rsidRPr="001E4308">
              <w:t xml:space="preserve"> Stichting</w:t>
            </w:r>
          </w:p>
        </w:tc>
        <w:tc>
          <w:tcPr>
            <w:tcW w:w="4258" w:type="dxa"/>
          </w:tcPr>
          <w:p w14:paraId="217603BE" w14:textId="73F82364" w:rsidR="00541365" w:rsidRDefault="00EC730F" w:rsidP="00C16584">
            <w:r w:rsidRPr="00EC730F">
              <w:t>73732816</w:t>
            </w:r>
          </w:p>
        </w:tc>
      </w:tr>
      <w:tr w:rsidR="00541365" w14:paraId="232BF004" w14:textId="77777777" w:rsidTr="005249ED">
        <w:tc>
          <w:tcPr>
            <w:tcW w:w="4258" w:type="dxa"/>
          </w:tcPr>
          <w:p w14:paraId="3C30EC7F" w14:textId="0A53F4E0" w:rsidR="00541365" w:rsidRDefault="00541365" w:rsidP="00C16584">
            <w:r w:rsidRPr="001E4308">
              <w:t>GGMD</w:t>
            </w:r>
          </w:p>
        </w:tc>
        <w:tc>
          <w:tcPr>
            <w:tcW w:w="4258" w:type="dxa"/>
          </w:tcPr>
          <w:p w14:paraId="3BED8C4B" w14:textId="0B4E4034" w:rsidR="00541365" w:rsidRDefault="004C6D65" w:rsidP="00C16584">
            <w:r w:rsidRPr="004C6D65">
              <w:t>40401325</w:t>
            </w:r>
          </w:p>
        </w:tc>
      </w:tr>
      <w:tr w:rsidR="00541365" w14:paraId="6CBADF22" w14:textId="77777777" w:rsidTr="005249ED">
        <w:tc>
          <w:tcPr>
            <w:tcW w:w="4258" w:type="dxa"/>
          </w:tcPr>
          <w:p w14:paraId="74011F87" w14:textId="51E5E7A7" w:rsidR="00541365" w:rsidRDefault="00541365" w:rsidP="00C16584">
            <w:proofErr w:type="spellStart"/>
            <w:r w:rsidRPr="001E4308">
              <w:t>Kentalis</w:t>
            </w:r>
            <w:proofErr w:type="spellEnd"/>
          </w:p>
        </w:tc>
        <w:tc>
          <w:tcPr>
            <w:tcW w:w="4258" w:type="dxa"/>
          </w:tcPr>
          <w:p w14:paraId="6A237135" w14:textId="1CD075A8" w:rsidR="00541365" w:rsidRDefault="006101A2" w:rsidP="00C16584">
            <w:r w:rsidRPr="006101A2">
              <w:t>98099004</w:t>
            </w:r>
          </w:p>
        </w:tc>
      </w:tr>
    </w:tbl>
    <w:p w14:paraId="67A389F7" w14:textId="77777777" w:rsidR="005249ED" w:rsidRDefault="005249ED" w:rsidP="00C16584"/>
    <w:p w14:paraId="3E823D9D" w14:textId="612B5CF1" w:rsidR="009C0A49" w:rsidRDefault="009C0A49" w:rsidP="009C0A49">
      <w:r>
        <w:t>Artikel 1</w:t>
      </w:r>
      <w:r w:rsidRPr="009C0A49">
        <w:t>.6</w:t>
      </w:r>
      <w:r w:rsidRPr="009C0A49">
        <w:tab/>
      </w:r>
      <w:r>
        <w:t>De Gemeente</w:t>
      </w:r>
      <w:r w:rsidRPr="009C0A49">
        <w:t xml:space="preserve"> stuurt </w:t>
      </w:r>
      <w:r>
        <w:t xml:space="preserve">altijd een </w:t>
      </w:r>
      <w:r w:rsidRPr="009C0A49">
        <w:t>beric</w:t>
      </w:r>
      <w:r>
        <w:t>ht ‘Toewijzing’ (WMO301</w:t>
      </w:r>
      <w:r w:rsidRPr="009C0A49">
        <w:t xml:space="preserve">) naar </w:t>
      </w:r>
      <w:r>
        <w:t xml:space="preserve">de </w:t>
      </w:r>
      <w:r w:rsidR="005456FC">
        <w:t>Aanbieder</w:t>
      </w:r>
      <w:r w:rsidRPr="009C0A49">
        <w:t xml:space="preserve"> </w:t>
      </w:r>
      <w:r w:rsidR="005456FC">
        <w:t>voor de inwoner(s) die van de G</w:t>
      </w:r>
      <w:r>
        <w:t>emeente een besluit of beschikking heeft ontvangen voor specialistische begeleiding ZG</w:t>
      </w:r>
      <w:r w:rsidRPr="009C0A49">
        <w:t xml:space="preserve">. Na ontvangst stuurt </w:t>
      </w:r>
      <w:r>
        <w:t>de aanbieder een</w:t>
      </w:r>
      <w:r w:rsidRPr="009C0A49">
        <w:t xml:space="preserve"> retourbericht WMO302 </w:t>
      </w:r>
      <w:r w:rsidR="00EA569D">
        <w:t xml:space="preserve">binnen 3 werkdagen </w:t>
      </w:r>
      <w:r w:rsidRPr="009C0A49">
        <w:t xml:space="preserve">naar </w:t>
      </w:r>
      <w:r>
        <w:t xml:space="preserve">de </w:t>
      </w:r>
      <w:r w:rsidR="005456FC">
        <w:t>G</w:t>
      </w:r>
      <w:r>
        <w:t>emeente</w:t>
      </w:r>
      <w:r w:rsidR="00EA569D">
        <w:t xml:space="preserve"> conform de standaardafspraken hierover in de </w:t>
      </w:r>
      <w:proofErr w:type="spellStart"/>
      <w:r w:rsidR="00EA569D">
        <w:t>iWmo</w:t>
      </w:r>
      <w:proofErr w:type="spellEnd"/>
      <w:r w:rsidR="00EA569D">
        <w:t xml:space="preserve"> 2.0 standaard.</w:t>
      </w:r>
      <w:r>
        <w:t xml:space="preserve"> </w:t>
      </w:r>
    </w:p>
    <w:p w14:paraId="26845A20" w14:textId="77777777" w:rsidR="009C0A49" w:rsidRDefault="009C0A49" w:rsidP="00C16584"/>
    <w:p w14:paraId="4BC6D379" w14:textId="58CBA1A9" w:rsidR="0031746E" w:rsidRDefault="009C0A49" w:rsidP="0031746E">
      <w:r>
        <w:lastRenderedPageBreak/>
        <w:t>Artikel 1.7</w:t>
      </w:r>
      <w:r w:rsidR="0031746E">
        <w:t xml:space="preserve"> </w:t>
      </w:r>
      <w:r>
        <w:tab/>
      </w:r>
      <w:r w:rsidR="005456FC">
        <w:t>Gemeente</w:t>
      </w:r>
      <w:r w:rsidR="0031746E">
        <w:t xml:space="preserve"> en </w:t>
      </w:r>
      <w:r w:rsidR="005456FC">
        <w:t>Aanbieder</w:t>
      </w:r>
      <w:r w:rsidR="0031746E">
        <w:t xml:space="preserve"> gebruiken in het toewijzen en declareren de volgende landelijk vastgestelde productcodes</w:t>
      </w:r>
      <w:r w:rsidR="00035315">
        <w:t xml:space="preserve"> </w:t>
      </w:r>
      <w:proofErr w:type="spellStart"/>
      <w:r w:rsidR="00035315">
        <w:t>iWmo</w:t>
      </w:r>
      <w:proofErr w:type="spellEnd"/>
      <w:r w:rsidR="00AC54E0">
        <w:t xml:space="preserve"> en </w:t>
      </w:r>
      <w:r w:rsidR="0031746E">
        <w:t xml:space="preserve">naar het CAK de daarbij behorende volgende productcodes uit </w:t>
      </w:r>
      <w:r w:rsidR="00A05D91">
        <w:t>de conversietabel extra</w:t>
      </w:r>
      <w:r w:rsidR="00035315">
        <w:t>murale prestaties 2016 van het CAK</w:t>
      </w:r>
      <w:r w:rsidR="000A2E3E">
        <w:rPr>
          <w:rStyle w:val="Voetnootmarkering"/>
        </w:rPr>
        <w:footnoteReference w:id="1"/>
      </w:r>
      <w:r w:rsidR="0031746E">
        <w:t>:</w:t>
      </w:r>
    </w:p>
    <w:p w14:paraId="25ABB4EE" w14:textId="05283173" w:rsidR="0031746E" w:rsidRDefault="0031746E" w:rsidP="0031746E"/>
    <w:tbl>
      <w:tblPr>
        <w:tblW w:w="8358" w:type="dxa"/>
        <w:tblInd w:w="93" w:type="dxa"/>
        <w:tblLook w:val="04A0" w:firstRow="1" w:lastRow="0" w:firstColumn="1" w:lastColumn="0" w:noHBand="0" w:noVBand="1"/>
      </w:tblPr>
      <w:tblGrid>
        <w:gridCol w:w="1070"/>
        <w:gridCol w:w="1440"/>
        <w:gridCol w:w="935"/>
        <w:gridCol w:w="4233"/>
        <w:gridCol w:w="680"/>
      </w:tblGrid>
      <w:tr w:rsidR="00AC54E0" w:rsidRPr="00AC54E0" w14:paraId="674EA34D" w14:textId="77777777" w:rsidTr="00AC54E0">
        <w:trPr>
          <w:trHeight w:val="817"/>
        </w:trPr>
        <w:tc>
          <w:tcPr>
            <w:tcW w:w="1070" w:type="dxa"/>
            <w:tcBorders>
              <w:top w:val="nil"/>
              <w:left w:val="nil"/>
              <w:bottom w:val="nil"/>
              <w:right w:val="nil"/>
            </w:tcBorders>
            <w:shd w:val="clear" w:color="auto" w:fill="auto"/>
            <w:vAlign w:val="bottom"/>
            <w:hideMark/>
          </w:tcPr>
          <w:p w14:paraId="46EB4FB7" w14:textId="77777777" w:rsidR="00AC54E0" w:rsidRPr="00AC54E0" w:rsidRDefault="00AC54E0" w:rsidP="00AC54E0">
            <w:pPr>
              <w:rPr>
                <w:rFonts w:ascii="Calibri" w:eastAsia="Times New Roman" w:hAnsi="Calibri" w:cs="Times New Roman"/>
                <w:b/>
                <w:bCs/>
                <w:color w:val="000000"/>
                <w:sz w:val="22"/>
                <w:szCs w:val="22"/>
              </w:rPr>
            </w:pPr>
            <w:r w:rsidRPr="00AC54E0">
              <w:rPr>
                <w:rFonts w:ascii="Calibri" w:eastAsia="Times New Roman" w:hAnsi="Calibri" w:cs="Times New Roman"/>
                <w:b/>
                <w:bCs/>
                <w:color w:val="000000"/>
                <w:sz w:val="22"/>
                <w:szCs w:val="22"/>
              </w:rPr>
              <w:t>Product categorie</w:t>
            </w:r>
          </w:p>
        </w:tc>
        <w:tc>
          <w:tcPr>
            <w:tcW w:w="1440" w:type="dxa"/>
            <w:tcBorders>
              <w:top w:val="nil"/>
              <w:left w:val="nil"/>
              <w:bottom w:val="nil"/>
              <w:right w:val="nil"/>
            </w:tcBorders>
            <w:shd w:val="clear" w:color="auto" w:fill="auto"/>
            <w:vAlign w:val="bottom"/>
            <w:hideMark/>
          </w:tcPr>
          <w:p w14:paraId="4C5DEF81" w14:textId="77777777" w:rsidR="00AC54E0" w:rsidRPr="00AC54E0" w:rsidRDefault="00AC54E0" w:rsidP="00AC54E0">
            <w:pPr>
              <w:rPr>
                <w:rFonts w:ascii="Calibri" w:eastAsia="Times New Roman" w:hAnsi="Calibri" w:cs="Times New Roman"/>
                <w:b/>
                <w:bCs/>
                <w:color w:val="000000"/>
                <w:sz w:val="22"/>
                <w:szCs w:val="22"/>
              </w:rPr>
            </w:pPr>
            <w:r w:rsidRPr="00AC54E0">
              <w:rPr>
                <w:rFonts w:ascii="Calibri" w:eastAsia="Times New Roman" w:hAnsi="Calibri" w:cs="Times New Roman"/>
                <w:b/>
                <w:bCs/>
                <w:color w:val="000000"/>
                <w:sz w:val="22"/>
                <w:szCs w:val="22"/>
              </w:rPr>
              <w:t>Product categorie omschrijving</w:t>
            </w:r>
          </w:p>
        </w:tc>
        <w:tc>
          <w:tcPr>
            <w:tcW w:w="935" w:type="dxa"/>
            <w:tcBorders>
              <w:top w:val="nil"/>
              <w:left w:val="nil"/>
              <w:bottom w:val="nil"/>
              <w:right w:val="nil"/>
            </w:tcBorders>
            <w:shd w:val="clear" w:color="auto" w:fill="auto"/>
            <w:vAlign w:val="bottom"/>
            <w:hideMark/>
          </w:tcPr>
          <w:p w14:paraId="4ABA0167" w14:textId="77777777" w:rsidR="00AC54E0" w:rsidRPr="00AC54E0" w:rsidRDefault="00AC54E0" w:rsidP="00AC54E0">
            <w:pPr>
              <w:rPr>
                <w:rFonts w:ascii="Calibri" w:eastAsia="Times New Roman" w:hAnsi="Calibri" w:cs="Times New Roman"/>
                <w:b/>
                <w:bCs/>
                <w:color w:val="000000"/>
                <w:sz w:val="22"/>
                <w:szCs w:val="22"/>
              </w:rPr>
            </w:pPr>
            <w:r w:rsidRPr="00AC54E0">
              <w:rPr>
                <w:rFonts w:ascii="Calibri" w:eastAsia="Times New Roman" w:hAnsi="Calibri" w:cs="Times New Roman"/>
                <w:b/>
                <w:bCs/>
                <w:color w:val="000000"/>
                <w:sz w:val="22"/>
                <w:szCs w:val="22"/>
              </w:rPr>
              <w:t>Product code</w:t>
            </w:r>
          </w:p>
        </w:tc>
        <w:tc>
          <w:tcPr>
            <w:tcW w:w="4233" w:type="dxa"/>
            <w:tcBorders>
              <w:top w:val="nil"/>
              <w:left w:val="nil"/>
              <w:bottom w:val="nil"/>
              <w:right w:val="nil"/>
            </w:tcBorders>
            <w:shd w:val="clear" w:color="auto" w:fill="auto"/>
            <w:vAlign w:val="bottom"/>
            <w:hideMark/>
          </w:tcPr>
          <w:p w14:paraId="5CD4A894" w14:textId="77777777" w:rsidR="00AC54E0" w:rsidRPr="00AC54E0" w:rsidRDefault="00AC54E0" w:rsidP="00AC54E0">
            <w:pPr>
              <w:rPr>
                <w:rFonts w:ascii="Calibri" w:eastAsia="Times New Roman" w:hAnsi="Calibri" w:cs="Times New Roman"/>
                <w:b/>
                <w:bCs/>
                <w:color w:val="000000"/>
                <w:sz w:val="22"/>
                <w:szCs w:val="22"/>
              </w:rPr>
            </w:pPr>
            <w:r w:rsidRPr="00AC54E0">
              <w:rPr>
                <w:rFonts w:ascii="Calibri" w:eastAsia="Times New Roman" w:hAnsi="Calibri" w:cs="Times New Roman"/>
                <w:b/>
                <w:bCs/>
                <w:color w:val="000000"/>
                <w:sz w:val="22"/>
                <w:szCs w:val="22"/>
              </w:rPr>
              <w:t>Productomschrijving</w:t>
            </w:r>
          </w:p>
        </w:tc>
        <w:tc>
          <w:tcPr>
            <w:tcW w:w="680" w:type="dxa"/>
            <w:tcBorders>
              <w:top w:val="nil"/>
              <w:left w:val="nil"/>
              <w:bottom w:val="nil"/>
              <w:right w:val="nil"/>
            </w:tcBorders>
            <w:shd w:val="clear" w:color="auto" w:fill="auto"/>
            <w:vAlign w:val="bottom"/>
            <w:hideMark/>
          </w:tcPr>
          <w:p w14:paraId="65541FA3" w14:textId="77777777" w:rsidR="00AC54E0" w:rsidRPr="00AC54E0" w:rsidRDefault="00AC54E0" w:rsidP="00AC54E0">
            <w:pPr>
              <w:rPr>
                <w:rFonts w:ascii="Calibri" w:eastAsia="Times New Roman" w:hAnsi="Calibri" w:cs="Times New Roman"/>
                <w:b/>
                <w:bCs/>
                <w:color w:val="000000"/>
                <w:sz w:val="22"/>
                <w:szCs w:val="22"/>
              </w:rPr>
            </w:pPr>
            <w:r w:rsidRPr="00AC54E0">
              <w:rPr>
                <w:rFonts w:ascii="Calibri" w:eastAsia="Times New Roman" w:hAnsi="Calibri" w:cs="Times New Roman"/>
                <w:b/>
                <w:bCs/>
                <w:color w:val="000000"/>
                <w:sz w:val="22"/>
                <w:szCs w:val="22"/>
              </w:rPr>
              <w:t>Code CAK</w:t>
            </w:r>
          </w:p>
        </w:tc>
      </w:tr>
      <w:tr w:rsidR="00AC54E0" w:rsidRPr="00AC54E0" w14:paraId="7A40D7A9" w14:textId="77777777" w:rsidTr="00AC54E0">
        <w:trPr>
          <w:trHeight w:val="273"/>
        </w:trPr>
        <w:tc>
          <w:tcPr>
            <w:tcW w:w="1070" w:type="dxa"/>
            <w:tcBorders>
              <w:top w:val="nil"/>
              <w:left w:val="nil"/>
              <w:bottom w:val="nil"/>
              <w:right w:val="nil"/>
            </w:tcBorders>
            <w:shd w:val="clear" w:color="auto" w:fill="auto"/>
            <w:noWrap/>
            <w:vAlign w:val="bottom"/>
            <w:hideMark/>
          </w:tcPr>
          <w:p w14:paraId="4EDBC12D"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5F8EAD05"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7F907234"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02L01</w:t>
            </w:r>
          </w:p>
        </w:tc>
        <w:tc>
          <w:tcPr>
            <w:tcW w:w="4233" w:type="dxa"/>
            <w:tcBorders>
              <w:top w:val="nil"/>
              <w:left w:val="nil"/>
              <w:bottom w:val="nil"/>
              <w:right w:val="nil"/>
            </w:tcBorders>
            <w:shd w:val="clear" w:color="auto" w:fill="auto"/>
            <w:noWrap/>
            <w:vAlign w:val="bottom"/>
            <w:hideMark/>
          </w:tcPr>
          <w:p w14:paraId="637A297A"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Toeleiding (landelijke inkoop ZG)</w:t>
            </w:r>
          </w:p>
        </w:tc>
        <w:tc>
          <w:tcPr>
            <w:tcW w:w="680" w:type="dxa"/>
            <w:tcBorders>
              <w:top w:val="nil"/>
              <w:left w:val="nil"/>
              <w:bottom w:val="nil"/>
              <w:right w:val="nil"/>
            </w:tcBorders>
            <w:shd w:val="clear" w:color="auto" w:fill="auto"/>
            <w:noWrap/>
            <w:vAlign w:val="bottom"/>
            <w:hideMark/>
          </w:tcPr>
          <w:p w14:paraId="60961F6F"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3E6C1D39" w14:textId="77777777" w:rsidTr="00AC54E0">
        <w:trPr>
          <w:trHeight w:val="273"/>
        </w:trPr>
        <w:tc>
          <w:tcPr>
            <w:tcW w:w="1070" w:type="dxa"/>
            <w:tcBorders>
              <w:top w:val="nil"/>
              <w:left w:val="nil"/>
              <w:bottom w:val="nil"/>
              <w:right w:val="nil"/>
            </w:tcBorders>
            <w:shd w:val="clear" w:color="auto" w:fill="auto"/>
            <w:noWrap/>
            <w:vAlign w:val="bottom"/>
            <w:hideMark/>
          </w:tcPr>
          <w:p w14:paraId="249E75A4"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6E13E92B"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0CE51999"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02L02</w:t>
            </w:r>
          </w:p>
        </w:tc>
        <w:tc>
          <w:tcPr>
            <w:tcW w:w="4233" w:type="dxa"/>
            <w:tcBorders>
              <w:top w:val="nil"/>
              <w:left w:val="nil"/>
              <w:bottom w:val="nil"/>
              <w:right w:val="nil"/>
            </w:tcBorders>
            <w:shd w:val="clear" w:color="auto" w:fill="auto"/>
            <w:noWrap/>
            <w:vAlign w:val="bottom"/>
            <w:hideMark/>
          </w:tcPr>
          <w:p w14:paraId="4C13C98A"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Verlengde toeleiding (landelijke inkoop ZG)</w:t>
            </w:r>
          </w:p>
        </w:tc>
        <w:tc>
          <w:tcPr>
            <w:tcW w:w="680" w:type="dxa"/>
            <w:tcBorders>
              <w:top w:val="nil"/>
              <w:left w:val="nil"/>
              <w:bottom w:val="nil"/>
              <w:right w:val="nil"/>
            </w:tcBorders>
            <w:shd w:val="clear" w:color="auto" w:fill="auto"/>
            <w:noWrap/>
            <w:vAlign w:val="bottom"/>
            <w:hideMark/>
          </w:tcPr>
          <w:p w14:paraId="2E278D7F"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429D4F4B" w14:textId="77777777" w:rsidTr="00AC54E0">
        <w:trPr>
          <w:trHeight w:val="273"/>
        </w:trPr>
        <w:tc>
          <w:tcPr>
            <w:tcW w:w="1070" w:type="dxa"/>
            <w:tcBorders>
              <w:top w:val="nil"/>
              <w:left w:val="nil"/>
              <w:bottom w:val="nil"/>
              <w:right w:val="nil"/>
            </w:tcBorders>
            <w:shd w:val="clear" w:color="auto" w:fill="auto"/>
            <w:noWrap/>
            <w:vAlign w:val="bottom"/>
            <w:hideMark/>
          </w:tcPr>
          <w:p w14:paraId="54A9F69D"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1766B5E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5A5C7891"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02L03</w:t>
            </w:r>
          </w:p>
        </w:tc>
        <w:tc>
          <w:tcPr>
            <w:tcW w:w="4233" w:type="dxa"/>
            <w:tcBorders>
              <w:top w:val="nil"/>
              <w:left w:val="nil"/>
              <w:bottom w:val="nil"/>
              <w:right w:val="nil"/>
            </w:tcBorders>
            <w:shd w:val="clear" w:color="auto" w:fill="auto"/>
            <w:noWrap/>
            <w:vAlign w:val="bottom"/>
            <w:hideMark/>
          </w:tcPr>
          <w:p w14:paraId="288A27DF"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Consultatie (landelijke inkoop ZG)</w:t>
            </w:r>
          </w:p>
        </w:tc>
        <w:tc>
          <w:tcPr>
            <w:tcW w:w="680" w:type="dxa"/>
            <w:tcBorders>
              <w:top w:val="nil"/>
              <w:left w:val="nil"/>
              <w:bottom w:val="nil"/>
              <w:right w:val="nil"/>
            </w:tcBorders>
            <w:shd w:val="clear" w:color="auto" w:fill="auto"/>
            <w:noWrap/>
            <w:vAlign w:val="bottom"/>
            <w:hideMark/>
          </w:tcPr>
          <w:p w14:paraId="57285DA4"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11E47BFA" w14:textId="77777777" w:rsidTr="00AC54E0">
        <w:trPr>
          <w:trHeight w:val="273"/>
        </w:trPr>
        <w:tc>
          <w:tcPr>
            <w:tcW w:w="1070" w:type="dxa"/>
            <w:tcBorders>
              <w:top w:val="nil"/>
              <w:left w:val="nil"/>
              <w:bottom w:val="nil"/>
              <w:right w:val="nil"/>
            </w:tcBorders>
            <w:shd w:val="clear" w:color="auto" w:fill="auto"/>
            <w:noWrap/>
            <w:vAlign w:val="bottom"/>
            <w:hideMark/>
          </w:tcPr>
          <w:p w14:paraId="27F7CD9C"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68979995"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1AEBE70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02L04</w:t>
            </w:r>
          </w:p>
        </w:tc>
        <w:tc>
          <w:tcPr>
            <w:tcW w:w="4233" w:type="dxa"/>
            <w:tcBorders>
              <w:top w:val="nil"/>
              <w:left w:val="nil"/>
              <w:bottom w:val="nil"/>
              <w:right w:val="nil"/>
            </w:tcBorders>
            <w:shd w:val="clear" w:color="auto" w:fill="auto"/>
            <w:noWrap/>
            <w:vAlign w:val="bottom"/>
            <w:hideMark/>
          </w:tcPr>
          <w:p w14:paraId="670A178F"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Beantwoording korte begeleidingsvragen (landelijke inkoop ZG)</w:t>
            </w:r>
          </w:p>
        </w:tc>
        <w:tc>
          <w:tcPr>
            <w:tcW w:w="680" w:type="dxa"/>
            <w:tcBorders>
              <w:top w:val="nil"/>
              <w:left w:val="nil"/>
              <w:bottom w:val="nil"/>
              <w:right w:val="nil"/>
            </w:tcBorders>
            <w:shd w:val="clear" w:color="auto" w:fill="auto"/>
            <w:noWrap/>
            <w:vAlign w:val="bottom"/>
            <w:hideMark/>
          </w:tcPr>
          <w:p w14:paraId="0936AF01"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450</w:t>
            </w:r>
          </w:p>
        </w:tc>
      </w:tr>
      <w:tr w:rsidR="00AC54E0" w:rsidRPr="00AC54E0" w14:paraId="5E2FCC39" w14:textId="77777777" w:rsidTr="00AC54E0">
        <w:trPr>
          <w:trHeight w:val="273"/>
        </w:trPr>
        <w:tc>
          <w:tcPr>
            <w:tcW w:w="1070" w:type="dxa"/>
            <w:tcBorders>
              <w:top w:val="nil"/>
              <w:left w:val="nil"/>
              <w:bottom w:val="nil"/>
              <w:right w:val="nil"/>
            </w:tcBorders>
            <w:shd w:val="clear" w:color="auto" w:fill="auto"/>
            <w:noWrap/>
            <w:vAlign w:val="bottom"/>
            <w:hideMark/>
          </w:tcPr>
          <w:p w14:paraId="0574EBA8"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71814A98"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08179CC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02L05</w:t>
            </w:r>
          </w:p>
        </w:tc>
        <w:tc>
          <w:tcPr>
            <w:tcW w:w="4233" w:type="dxa"/>
            <w:tcBorders>
              <w:top w:val="nil"/>
              <w:left w:val="nil"/>
              <w:bottom w:val="nil"/>
              <w:right w:val="nil"/>
            </w:tcBorders>
            <w:shd w:val="clear" w:color="auto" w:fill="auto"/>
            <w:noWrap/>
            <w:vAlign w:val="bottom"/>
            <w:hideMark/>
          </w:tcPr>
          <w:p w14:paraId="0CE59BEA"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Gespecialiseerde begeleiding (landelijke inkoop ZG)</w:t>
            </w:r>
          </w:p>
        </w:tc>
        <w:tc>
          <w:tcPr>
            <w:tcW w:w="680" w:type="dxa"/>
            <w:tcBorders>
              <w:top w:val="nil"/>
              <w:left w:val="nil"/>
              <w:bottom w:val="nil"/>
              <w:right w:val="nil"/>
            </w:tcBorders>
            <w:shd w:val="clear" w:color="auto" w:fill="auto"/>
            <w:noWrap/>
            <w:vAlign w:val="bottom"/>
            <w:hideMark/>
          </w:tcPr>
          <w:p w14:paraId="5F9B26E3"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451</w:t>
            </w:r>
          </w:p>
        </w:tc>
      </w:tr>
      <w:tr w:rsidR="00AC54E0" w:rsidRPr="00AC54E0" w14:paraId="1787FDAA" w14:textId="77777777" w:rsidTr="00AC54E0">
        <w:trPr>
          <w:trHeight w:val="273"/>
        </w:trPr>
        <w:tc>
          <w:tcPr>
            <w:tcW w:w="1070" w:type="dxa"/>
            <w:tcBorders>
              <w:top w:val="nil"/>
              <w:left w:val="nil"/>
              <w:bottom w:val="nil"/>
              <w:right w:val="nil"/>
            </w:tcBorders>
            <w:shd w:val="clear" w:color="auto" w:fill="auto"/>
            <w:noWrap/>
            <w:vAlign w:val="bottom"/>
            <w:hideMark/>
          </w:tcPr>
          <w:p w14:paraId="6ABA86EA"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10D6A18B"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14FFFF81"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02L06</w:t>
            </w:r>
          </w:p>
        </w:tc>
        <w:tc>
          <w:tcPr>
            <w:tcW w:w="4233" w:type="dxa"/>
            <w:tcBorders>
              <w:top w:val="nil"/>
              <w:left w:val="nil"/>
              <w:bottom w:val="nil"/>
              <w:right w:val="nil"/>
            </w:tcBorders>
            <w:shd w:val="clear" w:color="auto" w:fill="auto"/>
            <w:noWrap/>
            <w:vAlign w:val="bottom"/>
            <w:hideMark/>
          </w:tcPr>
          <w:p w14:paraId="3BF9BF92"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Revaliderende begeleiding (landelijke inkoop ZG)</w:t>
            </w:r>
          </w:p>
        </w:tc>
        <w:tc>
          <w:tcPr>
            <w:tcW w:w="680" w:type="dxa"/>
            <w:tcBorders>
              <w:top w:val="nil"/>
              <w:left w:val="nil"/>
              <w:bottom w:val="nil"/>
              <w:right w:val="nil"/>
            </w:tcBorders>
            <w:shd w:val="clear" w:color="auto" w:fill="auto"/>
            <w:noWrap/>
            <w:vAlign w:val="bottom"/>
            <w:hideMark/>
          </w:tcPr>
          <w:p w14:paraId="7737175B"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452</w:t>
            </w:r>
          </w:p>
        </w:tc>
      </w:tr>
      <w:tr w:rsidR="00AC54E0" w:rsidRPr="00AC54E0" w14:paraId="63408E75" w14:textId="77777777" w:rsidTr="00AC54E0">
        <w:trPr>
          <w:trHeight w:val="273"/>
        </w:trPr>
        <w:tc>
          <w:tcPr>
            <w:tcW w:w="1070" w:type="dxa"/>
            <w:tcBorders>
              <w:top w:val="nil"/>
              <w:left w:val="nil"/>
              <w:bottom w:val="nil"/>
              <w:right w:val="nil"/>
            </w:tcBorders>
            <w:shd w:val="clear" w:color="auto" w:fill="auto"/>
            <w:noWrap/>
            <w:vAlign w:val="bottom"/>
            <w:hideMark/>
          </w:tcPr>
          <w:p w14:paraId="571B231F"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471F3739"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1396732E"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02L08</w:t>
            </w:r>
          </w:p>
        </w:tc>
        <w:tc>
          <w:tcPr>
            <w:tcW w:w="4233" w:type="dxa"/>
            <w:tcBorders>
              <w:top w:val="nil"/>
              <w:left w:val="nil"/>
              <w:bottom w:val="nil"/>
              <w:right w:val="nil"/>
            </w:tcBorders>
            <w:shd w:val="clear" w:color="auto" w:fill="auto"/>
            <w:noWrap/>
            <w:vAlign w:val="bottom"/>
            <w:hideMark/>
          </w:tcPr>
          <w:p w14:paraId="0DCD6DA7"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Toeleiding (landelijke inkoop ZG)</w:t>
            </w:r>
          </w:p>
        </w:tc>
        <w:tc>
          <w:tcPr>
            <w:tcW w:w="680" w:type="dxa"/>
            <w:tcBorders>
              <w:top w:val="nil"/>
              <w:left w:val="nil"/>
              <w:bottom w:val="nil"/>
              <w:right w:val="nil"/>
            </w:tcBorders>
            <w:shd w:val="clear" w:color="auto" w:fill="auto"/>
            <w:noWrap/>
            <w:vAlign w:val="bottom"/>
            <w:hideMark/>
          </w:tcPr>
          <w:p w14:paraId="1CF44D27"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2A432056" w14:textId="77777777" w:rsidTr="00AC54E0">
        <w:trPr>
          <w:trHeight w:val="273"/>
        </w:trPr>
        <w:tc>
          <w:tcPr>
            <w:tcW w:w="1070" w:type="dxa"/>
            <w:tcBorders>
              <w:top w:val="nil"/>
              <w:left w:val="nil"/>
              <w:bottom w:val="nil"/>
              <w:right w:val="nil"/>
            </w:tcBorders>
            <w:shd w:val="clear" w:color="auto" w:fill="auto"/>
            <w:noWrap/>
            <w:vAlign w:val="bottom"/>
            <w:hideMark/>
          </w:tcPr>
          <w:p w14:paraId="3EA60EAC"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038DB31B"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6E1CC562"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02L09</w:t>
            </w:r>
          </w:p>
        </w:tc>
        <w:tc>
          <w:tcPr>
            <w:tcW w:w="4233" w:type="dxa"/>
            <w:tcBorders>
              <w:top w:val="nil"/>
              <w:left w:val="nil"/>
              <w:bottom w:val="nil"/>
              <w:right w:val="nil"/>
            </w:tcBorders>
            <w:shd w:val="clear" w:color="auto" w:fill="auto"/>
            <w:noWrap/>
            <w:vAlign w:val="bottom"/>
            <w:hideMark/>
          </w:tcPr>
          <w:p w14:paraId="60CD31BE"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Verlengde toeleiding (landelijke inkoop ZG)</w:t>
            </w:r>
          </w:p>
        </w:tc>
        <w:tc>
          <w:tcPr>
            <w:tcW w:w="680" w:type="dxa"/>
            <w:tcBorders>
              <w:top w:val="nil"/>
              <w:left w:val="nil"/>
              <w:bottom w:val="nil"/>
              <w:right w:val="nil"/>
            </w:tcBorders>
            <w:shd w:val="clear" w:color="auto" w:fill="auto"/>
            <w:noWrap/>
            <w:vAlign w:val="bottom"/>
            <w:hideMark/>
          </w:tcPr>
          <w:p w14:paraId="3AFA2AA7"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6C9B4276" w14:textId="77777777" w:rsidTr="00AC54E0">
        <w:trPr>
          <w:trHeight w:val="273"/>
        </w:trPr>
        <w:tc>
          <w:tcPr>
            <w:tcW w:w="1070" w:type="dxa"/>
            <w:tcBorders>
              <w:top w:val="nil"/>
              <w:left w:val="nil"/>
              <w:bottom w:val="nil"/>
              <w:right w:val="nil"/>
            </w:tcBorders>
            <w:shd w:val="clear" w:color="auto" w:fill="auto"/>
            <w:noWrap/>
            <w:vAlign w:val="bottom"/>
            <w:hideMark/>
          </w:tcPr>
          <w:p w14:paraId="6C3C4AA5"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6008A01D"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45F36242"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02L10</w:t>
            </w:r>
          </w:p>
        </w:tc>
        <w:tc>
          <w:tcPr>
            <w:tcW w:w="4233" w:type="dxa"/>
            <w:tcBorders>
              <w:top w:val="nil"/>
              <w:left w:val="nil"/>
              <w:bottom w:val="nil"/>
              <w:right w:val="nil"/>
            </w:tcBorders>
            <w:shd w:val="clear" w:color="auto" w:fill="auto"/>
            <w:noWrap/>
            <w:vAlign w:val="bottom"/>
            <w:hideMark/>
          </w:tcPr>
          <w:p w14:paraId="250D6322"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Consultatie (landelijke inkoop ZG)</w:t>
            </w:r>
          </w:p>
        </w:tc>
        <w:tc>
          <w:tcPr>
            <w:tcW w:w="680" w:type="dxa"/>
            <w:tcBorders>
              <w:top w:val="nil"/>
              <w:left w:val="nil"/>
              <w:bottom w:val="nil"/>
              <w:right w:val="nil"/>
            </w:tcBorders>
            <w:shd w:val="clear" w:color="auto" w:fill="auto"/>
            <w:noWrap/>
            <w:vAlign w:val="bottom"/>
            <w:hideMark/>
          </w:tcPr>
          <w:p w14:paraId="0DA0CB1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w:t>
            </w:r>
          </w:p>
        </w:tc>
      </w:tr>
      <w:tr w:rsidR="00AC54E0" w:rsidRPr="00AC54E0" w14:paraId="399F9994" w14:textId="77777777" w:rsidTr="00AC54E0">
        <w:trPr>
          <w:trHeight w:val="273"/>
        </w:trPr>
        <w:tc>
          <w:tcPr>
            <w:tcW w:w="1070" w:type="dxa"/>
            <w:tcBorders>
              <w:top w:val="nil"/>
              <w:left w:val="nil"/>
              <w:bottom w:val="nil"/>
              <w:right w:val="nil"/>
            </w:tcBorders>
            <w:shd w:val="clear" w:color="auto" w:fill="auto"/>
            <w:noWrap/>
            <w:vAlign w:val="bottom"/>
            <w:hideMark/>
          </w:tcPr>
          <w:p w14:paraId="1B51894D"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220D201F"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6C96143C"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02L11</w:t>
            </w:r>
          </w:p>
        </w:tc>
        <w:tc>
          <w:tcPr>
            <w:tcW w:w="4233" w:type="dxa"/>
            <w:tcBorders>
              <w:top w:val="nil"/>
              <w:left w:val="nil"/>
              <w:bottom w:val="nil"/>
              <w:right w:val="nil"/>
            </w:tcBorders>
            <w:shd w:val="clear" w:color="auto" w:fill="auto"/>
            <w:noWrap/>
            <w:vAlign w:val="bottom"/>
            <w:hideMark/>
          </w:tcPr>
          <w:p w14:paraId="54932CDE"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Beantwoording korte begeleidingsvragen (landelijke inkoop ZG)</w:t>
            </w:r>
          </w:p>
        </w:tc>
        <w:tc>
          <w:tcPr>
            <w:tcW w:w="680" w:type="dxa"/>
            <w:tcBorders>
              <w:top w:val="nil"/>
              <w:left w:val="nil"/>
              <w:bottom w:val="nil"/>
              <w:right w:val="nil"/>
            </w:tcBorders>
            <w:shd w:val="clear" w:color="auto" w:fill="auto"/>
            <w:noWrap/>
            <w:vAlign w:val="bottom"/>
            <w:hideMark/>
          </w:tcPr>
          <w:p w14:paraId="2D2D3038"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450</w:t>
            </w:r>
          </w:p>
        </w:tc>
      </w:tr>
      <w:tr w:rsidR="00AC54E0" w:rsidRPr="00AC54E0" w14:paraId="4511D05C" w14:textId="77777777" w:rsidTr="00AC54E0">
        <w:trPr>
          <w:trHeight w:val="273"/>
        </w:trPr>
        <w:tc>
          <w:tcPr>
            <w:tcW w:w="1070" w:type="dxa"/>
            <w:tcBorders>
              <w:top w:val="nil"/>
              <w:left w:val="nil"/>
              <w:bottom w:val="nil"/>
              <w:right w:val="nil"/>
            </w:tcBorders>
            <w:shd w:val="clear" w:color="auto" w:fill="auto"/>
            <w:noWrap/>
            <w:vAlign w:val="bottom"/>
            <w:hideMark/>
          </w:tcPr>
          <w:p w14:paraId="3AD39650"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623A42D8"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702332C1"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02L12</w:t>
            </w:r>
          </w:p>
        </w:tc>
        <w:tc>
          <w:tcPr>
            <w:tcW w:w="4233" w:type="dxa"/>
            <w:tcBorders>
              <w:top w:val="nil"/>
              <w:left w:val="nil"/>
              <w:bottom w:val="nil"/>
              <w:right w:val="nil"/>
            </w:tcBorders>
            <w:shd w:val="clear" w:color="auto" w:fill="auto"/>
            <w:noWrap/>
            <w:vAlign w:val="bottom"/>
            <w:hideMark/>
          </w:tcPr>
          <w:p w14:paraId="115F1199"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Gespecialiseerde begeleiding (landelijke inkoop ZG)</w:t>
            </w:r>
          </w:p>
        </w:tc>
        <w:tc>
          <w:tcPr>
            <w:tcW w:w="680" w:type="dxa"/>
            <w:tcBorders>
              <w:top w:val="nil"/>
              <w:left w:val="nil"/>
              <w:bottom w:val="nil"/>
              <w:right w:val="nil"/>
            </w:tcBorders>
            <w:shd w:val="clear" w:color="auto" w:fill="auto"/>
            <w:noWrap/>
            <w:vAlign w:val="bottom"/>
            <w:hideMark/>
          </w:tcPr>
          <w:p w14:paraId="0732DB40"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455</w:t>
            </w:r>
          </w:p>
        </w:tc>
      </w:tr>
      <w:tr w:rsidR="00AC54E0" w:rsidRPr="00AC54E0" w14:paraId="163F0225" w14:textId="77777777" w:rsidTr="00AC54E0">
        <w:trPr>
          <w:trHeight w:val="273"/>
        </w:trPr>
        <w:tc>
          <w:tcPr>
            <w:tcW w:w="1070" w:type="dxa"/>
            <w:tcBorders>
              <w:top w:val="nil"/>
              <w:left w:val="nil"/>
              <w:bottom w:val="nil"/>
              <w:right w:val="nil"/>
            </w:tcBorders>
            <w:shd w:val="clear" w:color="auto" w:fill="auto"/>
            <w:noWrap/>
            <w:vAlign w:val="bottom"/>
            <w:hideMark/>
          </w:tcPr>
          <w:p w14:paraId="57733668"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79FB1D94"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31AAA2E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02L13</w:t>
            </w:r>
          </w:p>
        </w:tc>
        <w:tc>
          <w:tcPr>
            <w:tcW w:w="4233" w:type="dxa"/>
            <w:tcBorders>
              <w:top w:val="nil"/>
              <w:left w:val="nil"/>
              <w:bottom w:val="nil"/>
              <w:right w:val="nil"/>
            </w:tcBorders>
            <w:shd w:val="clear" w:color="auto" w:fill="auto"/>
            <w:noWrap/>
            <w:vAlign w:val="bottom"/>
            <w:hideMark/>
          </w:tcPr>
          <w:p w14:paraId="7A37BC7F"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Begeleidersvoorziening (landelijke inkoop ZG)</w:t>
            </w:r>
          </w:p>
        </w:tc>
        <w:tc>
          <w:tcPr>
            <w:tcW w:w="680" w:type="dxa"/>
            <w:tcBorders>
              <w:top w:val="nil"/>
              <w:left w:val="nil"/>
              <w:bottom w:val="nil"/>
              <w:right w:val="nil"/>
            </w:tcBorders>
            <w:shd w:val="clear" w:color="auto" w:fill="auto"/>
            <w:noWrap/>
            <w:vAlign w:val="bottom"/>
            <w:hideMark/>
          </w:tcPr>
          <w:p w14:paraId="474752C4"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456</w:t>
            </w:r>
          </w:p>
        </w:tc>
      </w:tr>
      <w:tr w:rsidR="00AC54E0" w:rsidRPr="00AC54E0" w14:paraId="1E314278" w14:textId="77777777" w:rsidTr="00AC54E0">
        <w:trPr>
          <w:trHeight w:val="273"/>
        </w:trPr>
        <w:tc>
          <w:tcPr>
            <w:tcW w:w="1070" w:type="dxa"/>
            <w:tcBorders>
              <w:top w:val="nil"/>
              <w:left w:val="nil"/>
              <w:bottom w:val="nil"/>
              <w:right w:val="nil"/>
            </w:tcBorders>
            <w:shd w:val="clear" w:color="auto" w:fill="auto"/>
            <w:noWrap/>
            <w:vAlign w:val="bottom"/>
            <w:hideMark/>
          </w:tcPr>
          <w:p w14:paraId="0A421039"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2</w:t>
            </w:r>
          </w:p>
        </w:tc>
        <w:tc>
          <w:tcPr>
            <w:tcW w:w="1440" w:type="dxa"/>
            <w:tcBorders>
              <w:top w:val="nil"/>
              <w:left w:val="nil"/>
              <w:bottom w:val="nil"/>
              <w:right w:val="nil"/>
            </w:tcBorders>
            <w:shd w:val="clear" w:color="auto" w:fill="auto"/>
            <w:noWrap/>
            <w:vAlign w:val="bottom"/>
            <w:hideMark/>
          </w:tcPr>
          <w:p w14:paraId="237518D3"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Begeleiding</w:t>
            </w:r>
          </w:p>
        </w:tc>
        <w:tc>
          <w:tcPr>
            <w:tcW w:w="935" w:type="dxa"/>
            <w:tcBorders>
              <w:top w:val="nil"/>
              <w:left w:val="nil"/>
              <w:bottom w:val="nil"/>
              <w:right w:val="nil"/>
            </w:tcBorders>
            <w:shd w:val="clear" w:color="auto" w:fill="auto"/>
            <w:noWrap/>
            <w:vAlign w:val="bottom"/>
            <w:hideMark/>
          </w:tcPr>
          <w:p w14:paraId="5E462061"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02L15</w:t>
            </w:r>
          </w:p>
        </w:tc>
        <w:tc>
          <w:tcPr>
            <w:tcW w:w="4233" w:type="dxa"/>
            <w:tcBorders>
              <w:top w:val="nil"/>
              <w:left w:val="nil"/>
              <w:bottom w:val="nil"/>
              <w:right w:val="nil"/>
            </w:tcBorders>
            <w:shd w:val="clear" w:color="auto" w:fill="auto"/>
            <w:noWrap/>
            <w:vAlign w:val="bottom"/>
            <w:hideMark/>
          </w:tcPr>
          <w:p w14:paraId="43551F40"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Visueel: gespecialiseerde begeleiding (landelijke inkoop ZG)</w:t>
            </w:r>
          </w:p>
        </w:tc>
        <w:tc>
          <w:tcPr>
            <w:tcW w:w="680" w:type="dxa"/>
            <w:tcBorders>
              <w:top w:val="nil"/>
              <w:left w:val="nil"/>
              <w:bottom w:val="nil"/>
              <w:right w:val="nil"/>
            </w:tcBorders>
            <w:shd w:val="clear" w:color="auto" w:fill="auto"/>
            <w:noWrap/>
            <w:vAlign w:val="bottom"/>
            <w:hideMark/>
          </w:tcPr>
          <w:p w14:paraId="339CB750"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454</w:t>
            </w:r>
          </w:p>
        </w:tc>
      </w:tr>
      <w:tr w:rsidR="00AC54E0" w:rsidRPr="00AC54E0" w14:paraId="478017FC" w14:textId="77777777" w:rsidTr="00AC54E0">
        <w:trPr>
          <w:trHeight w:val="273"/>
        </w:trPr>
        <w:tc>
          <w:tcPr>
            <w:tcW w:w="1070" w:type="dxa"/>
            <w:tcBorders>
              <w:top w:val="nil"/>
              <w:left w:val="nil"/>
              <w:bottom w:val="nil"/>
              <w:right w:val="nil"/>
            </w:tcBorders>
            <w:shd w:val="clear" w:color="auto" w:fill="auto"/>
            <w:noWrap/>
            <w:vAlign w:val="bottom"/>
            <w:hideMark/>
          </w:tcPr>
          <w:p w14:paraId="62CFB73B"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7</w:t>
            </w:r>
          </w:p>
        </w:tc>
        <w:tc>
          <w:tcPr>
            <w:tcW w:w="1440" w:type="dxa"/>
            <w:tcBorders>
              <w:top w:val="nil"/>
              <w:left w:val="nil"/>
              <w:bottom w:val="nil"/>
              <w:right w:val="nil"/>
            </w:tcBorders>
            <w:shd w:val="clear" w:color="auto" w:fill="auto"/>
            <w:noWrap/>
            <w:vAlign w:val="bottom"/>
            <w:hideMark/>
          </w:tcPr>
          <w:p w14:paraId="55B530C4"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Dagbesteding</w:t>
            </w:r>
          </w:p>
        </w:tc>
        <w:tc>
          <w:tcPr>
            <w:tcW w:w="935" w:type="dxa"/>
            <w:tcBorders>
              <w:top w:val="nil"/>
              <w:left w:val="nil"/>
              <w:bottom w:val="nil"/>
              <w:right w:val="nil"/>
            </w:tcBorders>
            <w:shd w:val="clear" w:color="auto" w:fill="auto"/>
            <w:noWrap/>
            <w:vAlign w:val="bottom"/>
            <w:hideMark/>
          </w:tcPr>
          <w:p w14:paraId="231CC358"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07L01</w:t>
            </w:r>
          </w:p>
        </w:tc>
        <w:tc>
          <w:tcPr>
            <w:tcW w:w="4233" w:type="dxa"/>
            <w:tcBorders>
              <w:top w:val="nil"/>
              <w:left w:val="nil"/>
              <w:bottom w:val="nil"/>
              <w:right w:val="nil"/>
            </w:tcBorders>
            <w:shd w:val="clear" w:color="auto" w:fill="auto"/>
            <w:noWrap/>
            <w:vAlign w:val="bottom"/>
            <w:hideMark/>
          </w:tcPr>
          <w:p w14:paraId="217ECF47"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Vroegdoven</w:t>
            </w:r>
            <w:proofErr w:type="spellEnd"/>
            <w:r w:rsidRPr="00AC54E0">
              <w:rPr>
                <w:rFonts w:ascii="Calibri" w:eastAsia="Times New Roman" w:hAnsi="Calibri" w:cs="Times New Roman"/>
                <w:color w:val="000000"/>
                <w:sz w:val="22"/>
                <w:szCs w:val="22"/>
              </w:rPr>
              <w:t>: Dagactiviteit zintuiglijk gehandicapten (landelijke inkoop ZG)</w:t>
            </w:r>
          </w:p>
        </w:tc>
        <w:tc>
          <w:tcPr>
            <w:tcW w:w="680" w:type="dxa"/>
            <w:tcBorders>
              <w:top w:val="nil"/>
              <w:left w:val="nil"/>
              <w:bottom w:val="nil"/>
              <w:right w:val="nil"/>
            </w:tcBorders>
            <w:shd w:val="clear" w:color="auto" w:fill="auto"/>
            <w:noWrap/>
            <w:vAlign w:val="bottom"/>
            <w:hideMark/>
          </w:tcPr>
          <w:p w14:paraId="18E29523"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453</w:t>
            </w:r>
          </w:p>
        </w:tc>
      </w:tr>
      <w:tr w:rsidR="00AC54E0" w:rsidRPr="00AC54E0" w14:paraId="0091C1EC" w14:textId="77777777" w:rsidTr="00AC54E0">
        <w:trPr>
          <w:trHeight w:val="273"/>
        </w:trPr>
        <w:tc>
          <w:tcPr>
            <w:tcW w:w="1070" w:type="dxa"/>
            <w:tcBorders>
              <w:top w:val="nil"/>
              <w:left w:val="nil"/>
              <w:bottom w:val="nil"/>
              <w:right w:val="nil"/>
            </w:tcBorders>
            <w:shd w:val="clear" w:color="auto" w:fill="auto"/>
            <w:noWrap/>
            <w:vAlign w:val="bottom"/>
            <w:hideMark/>
          </w:tcPr>
          <w:p w14:paraId="18250833"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7</w:t>
            </w:r>
          </w:p>
        </w:tc>
        <w:tc>
          <w:tcPr>
            <w:tcW w:w="1440" w:type="dxa"/>
            <w:tcBorders>
              <w:top w:val="nil"/>
              <w:left w:val="nil"/>
              <w:bottom w:val="nil"/>
              <w:right w:val="nil"/>
            </w:tcBorders>
            <w:shd w:val="clear" w:color="auto" w:fill="auto"/>
            <w:noWrap/>
            <w:vAlign w:val="bottom"/>
            <w:hideMark/>
          </w:tcPr>
          <w:p w14:paraId="5FB84459"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Dagbesteding</w:t>
            </w:r>
          </w:p>
        </w:tc>
        <w:tc>
          <w:tcPr>
            <w:tcW w:w="935" w:type="dxa"/>
            <w:tcBorders>
              <w:top w:val="nil"/>
              <w:left w:val="nil"/>
              <w:bottom w:val="nil"/>
              <w:right w:val="nil"/>
            </w:tcBorders>
            <w:shd w:val="clear" w:color="auto" w:fill="auto"/>
            <w:noWrap/>
            <w:vAlign w:val="bottom"/>
            <w:hideMark/>
          </w:tcPr>
          <w:p w14:paraId="3B22F089" w14:textId="77777777" w:rsidR="00AC54E0" w:rsidRPr="00AC54E0" w:rsidRDefault="00AC54E0" w:rsidP="00AC54E0">
            <w:pPr>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07L02</w:t>
            </w:r>
          </w:p>
        </w:tc>
        <w:tc>
          <w:tcPr>
            <w:tcW w:w="4233" w:type="dxa"/>
            <w:tcBorders>
              <w:top w:val="nil"/>
              <w:left w:val="nil"/>
              <w:bottom w:val="nil"/>
              <w:right w:val="nil"/>
            </w:tcBorders>
            <w:shd w:val="clear" w:color="auto" w:fill="auto"/>
            <w:noWrap/>
            <w:vAlign w:val="bottom"/>
            <w:hideMark/>
          </w:tcPr>
          <w:p w14:paraId="46728851" w14:textId="77777777" w:rsidR="00AC54E0" w:rsidRPr="00AC54E0" w:rsidRDefault="00AC54E0" w:rsidP="00AC54E0">
            <w:pPr>
              <w:rPr>
                <w:rFonts w:ascii="Calibri" w:eastAsia="Times New Roman" w:hAnsi="Calibri" w:cs="Times New Roman"/>
                <w:color w:val="000000"/>
                <w:sz w:val="22"/>
                <w:szCs w:val="22"/>
              </w:rPr>
            </w:pPr>
            <w:proofErr w:type="spellStart"/>
            <w:r w:rsidRPr="00AC54E0">
              <w:rPr>
                <w:rFonts w:ascii="Calibri" w:eastAsia="Times New Roman" w:hAnsi="Calibri" w:cs="Times New Roman"/>
                <w:color w:val="000000"/>
                <w:sz w:val="22"/>
                <w:szCs w:val="22"/>
              </w:rPr>
              <w:t>Doofblinden</w:t>
            </w:r>
            <w:proofErr w:type="spellEnd"/>
            <w:r w:rsidRPr="00AC54E0">
              <w:rPr>
                <w:rFonts w:ascii="Calibri" w:eastAsia="Times New Roman" w:hAnsi="Calibri" w:cs="Times New Roman"/>
                <w:color w:val="000000"/>
                <w:sz w:val="22"/>
                <w:szCs w:val="22"/>
              </w:rPr>
              <w:t>: Dagactiviteit zintuiglijk gehandicapten (landelijke inkoop ZG)</w:t>
            </w:r>
          </w:p>
        </w:tc>
        <w:tc>
          <w:tcPr>
            <w:tcW w:w="680" w:type="dxa"/>
            <w:tcBorders>
              <w:top w:val="nil"/>
              <w:left w:val="nil"/>
              <w:bottom w:val="nil"/>
              <w:right w:val="nil"/>
            </w:tcBorders>
            <w:shd w:val="clear" w:color="auto" w:fill="auto"/>
            <w:noWrap/>
            <w:vAlign w:val="bottom"/>
            <w:hideMark/>
          </w:tcPr>
          <w:p w14:paraId="32E46F62" w14:textId="77777777" w:rsidR="00AC54E0" w:rsidRPr="00AC54E0" w:rsidRDefault="00AC54E0" w:rsidP="00AC54E0">
            <w:pPr>
              <w:jc w:val="right"/>
              <w:rPr>
                <w:rFonts w:ascii="Calibri" w:eastAsia="Times New Roman" w:hAnsi="Calibri" w:cs="Times New Roman"/>
                <w:color w:val="000000"/>
                <w:sz w:val="22"/>
                <w:szCs w:val="22"/>
              </w:rPr>
            </w:pPr>
            <w:r w:rsidRPr="00AC54E0">
              <w:rPr>
                <w:rFonts w:ascii="Calibri" w:eastAsia="Times New Roman" w:hAnsi="Calibri" w:cs="Times New Roman"/>
                <w:color w:val="000000"/>
                <w:sz w:val="22"/>
                <w:szCs w:val="22"/>
              </w:rPr>
              <w:t>453</w:t>
            </w:r>
          </w:p>
        </w:tc>
      </w:tr>
    </w:tbl>
    <w:p w14:paraId="526019B3" w14:textId="77578ADC" w:rsidR="0031746E" w:rsidRDefault="0031746E" w:rsidP="00C16584"/>
    <w:p w14:paraId="246D17BD" w14:textId="77777777" w:rsidR="009D3C44" w:rsidRDefault="009D3C44"/>
    <w:p w14:paraId="08346DA7" w14:textId="2FC3CDBB" w:rsidR="009D3C44" w:rsidRDefault="009C0A49">
      <w:r>
        <w:t>Artikel 1.8</w:t>
      </w:r>
      <w:r w:rsidR="00C16584">
        <w:t xml:space="preserve"> </w:t>
      </w:r>
      <w:r>
        <w:tab/>
      </w:r>
      <w:r w:rsidR="007E2FE5">
        <w:t xml:space="preserve">Het streven is </w:t>
      </w:r>
      <w:r w:rsidR="00616D79">
        <w:t xml:space="preserve">om </w:t>
      </w:r>
      <w:r w:rsidR="007E2FE5">
        <w:t>uiterlijk</w:t>
      </w:r>
      <w:r w:rsidR="0026471F">
        <w:t xml:space="preserve"> 3 weken na het besluit </w:t>
      </w:r>
      <w:r w:rsidR="005A6024">
        <w:t xml:space="preserve">of </w:t>
      </w:r>
      <w:r w:rsidR="00616D79">
        <w:t xml:space="preserve">de beschikking aan de burger de toewijzing (WMO301) </w:t>
      </w:r>
      <w:r w:rsidR="007E2FE5">
        <w:t>te versturen</w:t>
      </w:r>
      <w:r w:rsidR="0026471F">
        <w:t xml:space="preserve"> aan de betreffende </w:t>
      </w:r>
      <w:r w:rsidR="005456FC">
        <w:t>Aanbieder</w:t>
      </w:r>
      <w:r w:rsidR="007E2FE5">
        <w:t>.</w:t>
      </w:r>
      <w:r w:rsidR="00325BDB">
        <w:t xml:space="preserve"> Daarmee is de toewijzing ook de basis voor de declaratie/ factuur.</w:t>
      </w:r>
    </w:p>
    <w:p w14:paraId="20E5EC36" w14:textId="77777777" w:rsidR="003D3632" w:rsidRDefault="003D3632"/>
    <w:p w14:paraId="459CCDD9" w14:textId="77777777" w:rsidR="00C3767A" w:rsidRDefault="00C3767A" w:rsidP="00C3767A"/>
    <w:p w14:paraId="2B91E622" w14:textId="59A949E9" w:rsidR="00C3767A" w:rsidRDefault="00C3767A" w:rsidP="00C3767A"/>
    <w:p w14:paraId="17367A33" w14:textId="77777777" w:rsidR="00C3767A" w:rsidRDefault="00C3767A" w:rsidP="00C3767A"/>
    <w:p w14:paraId="1FFAB3D2" w14:textId="77777777" w:rsidR="00C3767A" w:rsidRDefault="00C3767A" w:rsidP="00C3767A"/>
    <w:p w14:paraId="1E4C8C19" w14:textId="77777777" w:rsidR="00C3767A" w:rsidRDefault="00C3767A" w:rsidP="00C3767A"/>
    <w:p w14:paraId="68CB5641" w14:textId="5BB8FAFD" w:rsidR="00A50DBD" w:rsidRDefault="00A50DBD" w:rsidP="00C3767A"/>
    <w:p w14:paraId="59CEACE3" w14:textId="77777777" w:rsidR="00A50DBD" w:rsidRDefault="00A50DBD" w:rsidP="00C3767A"/>
    <w:p w14:paraId="2FA3A943" w14:textId="77777777" w:rsidR="003D3632" w:rsidRDefault="003D3632" w:rsidP="00C3767A"/>
    <w:p w14:paraId="4AEDF456" w14:textId="0820FDCE" w:rsidR="00C3767A" w:rsidRDefault="00C3767A" w:rsidP="00C3767A">
      <w:r>
        <w:t>Artikel 1.9</w:t>
      </w:r>
      <w:r>
        <w:tab/>
        <w:t xml:space="preserve">Aanbieder </w:t>
      </w:r>
      <w:r w:rsidR="00842650">
        <w:t xml:space="preserve">stuurt Gemeente 1x per 4 weken </w:t>
      </w:r>
      <w:r>
        <w:t xml:space="preserve">de geleverde prestaties </w:t>
      </w:r>
      <w:r w:rsidR="00842650">
        <w:t>(de gerealiseerde uren</w:t>
      </w:r>
      <w:r w:rsidR="005A6024">
        <w:t>)</w:t>
      </w:r>
      <w:r w:rsidR="00842650">
        <w:t xml:space="preserve"> </w:t>
      </w:r>
      <w:r w:rsidR="00842650" w:rsidRPr="00393F9A">
        <w:t xml:space="preserve">en bijbehorend tarief </w:t>
      </w:r>
      <w:r w:rsidR="00842650">
        <w:t xml:space="preserve">uit bijlage 2 van de overeenkomst) </w:t>
      </w:r>
      <w:r>
        <w:t>door</w:t>
      </w:r>
      <w:r w:rsidR="00842650">
        <w:t xml:space="preserve"> </w:t>
      </w:r>
      <w:r>
        <w:t xml:space="preserve">middel van het bericht ‘Declaratie’ (WMO303d) (conform bepalingen in annex 1 artikel 10.2) en uiterlijk binnen dertig (30) dagen na de verleende ondersteuning. </w:t>
      </w:r>
      <w:r w:rsidR="00842650">
        <w:t>Afronding van uren en bijbehorend tarief na deling is altijd naar boven op 2 decimalen. Er worden door gemeenten en aanbieder geen andere eenheden toegepast.</w:t>
      </w:r>
    </w:p>
    <w:p w14:paraId="4214271D" w14:textId="77777777" w:rsidR="00C3767A" w:rsidRDefault="00C3767A" w:rsidP="00C3767A"/>
    <w:p w14:paraId="25C3602F" w14:textId="734B0695" w:rsidR="00C3767A" w:rsidRDefault="00C3767A" w:rsidP="00C3767A">
      <w:r>
        <w:t>Artikel 1.10</w:t>
      </w:r>
      <w:r>
        <w:tab/>
      </w:r>
      <w:r w:rsidR="003D3632">
        <w:t xml:space="preserve">Indien tussen </w:t>
      </w:r>
      <w:r w:rsidR="00616D79">
        <w:t>A</w:t>
      </w:r>
      <w:r w:rsidR="00842650">
        <w:t>anbieder</w:t>
      </w:r>
      <w:r w:rsidR="003D3632">
        <w:t xml:space="preserve"> en </w:t>
      </w:r>
      <w:r w:rsidR="00616D79">
        <w:t>G</w:t>
      </w:r>
      <w:r w:rsidR="003D3632">
        <w:t>emeente overeengekomen,</w:t>
      </w:r>
      <w:r>
        <w:t xml:space="preserve"> stuurt </w:t>
      </w:r>
      <w:r w:rsidR="003D3632">
        <w:t xml:space="preserve">de aanbieder </w:t>
      </w:r>
      <w:r>
        <w:t xml:space="preserve">aanvullend op het bericht ‘Declaratie’ (WMO303d) een (papieren) factuur. Deze factuur wordt verstuurd buiten het landelijke berichtenstelsel conform de vereisten in de handreiking </w:t>
      </w:r>
      <w:r w:rsidR="00842650">
        <w:rPr>
          <w:rStyle w:val="Voetnootmarkering"/>
        </w:rPr>
        <w:footnoteReference w:id="2"/>
      </w:r>
      <w:r>
        <w:t xml:space="preserve">. </w:t>
      </w:r>
    </w:p>
    <w:p w14:paraId="1ED9C3B1" w14:textId="77777777" w:rsidR="00842650" w:rsidRDefault="00842650" w:rsidP="00C3767A"/>
    <w:p w14:paraId="534DB5DA" w14:textId="0B90432D" w:rsidR="00C3767A" w:rsidRDefault="00842650" w:rsidP="00C3767A">
      <w:r>
        <w:t>Artikel 1.11</w:t>
      </w:r>
      <w:r w:rsidR="00C3767A">
        <w:tab/>
      </w:r>
      <w:r>
        <w:t>Gemeente</w:t>
      </w:r>
      <w:r w:rsidR="00C3767A">
        <w:t xml:space="preserve"> stuurt na ontvangst van het bericht ‘declaratie’ binnen 20 wer</w:t>
      </w:r>
      <w:r>
        <w:t>kdagen het retourbericht (WMO304</w:t>
      </w:r>
      <w:r w:rsidR="00C3767A">
        <w:t>)</w:t>
      </w:r>
      <w:r w:rsidR="005A6024">
        <w:t>.</w:t>
      </w:r>
    </w:p>
    <w:p w14:paraId="6E17B581" w14:textId="77777777" w:rsidR="00842650" w:rsidRDefault="00842650" w:rsidP="00C3767A"/>
    <w:p w14:paraId="674650AC" w14:textId="5105E99F" w:rsidR="00C3767A" w:rsidRDefault="00842650" w:rsidP="00C3767A">
      <w:r>
        <w:t>Artikel 1.12</w:t>
      </w:r>
      <w:r w:rsidR="00C3767A">
        <w:tab/>
        <w:t xml:space="preserve">Indien </w:t>
      </w:r>
      <w:r>
        <w:t>Gemeente</w:t>
      </w:r>
      <w:r w:rsidR="00C3767A">
        <w:t xml:space="preserve"> declaratieregels afkeurt, dan wordt de afgekeurde regel door </w:t>
      </w:r>
      <w:r>
        <w:t>Aanbieder</w:t>
      </w:r>
      <w:r w:rsidR="00C3767A">
        <w:t xml:space="preserve"> gecorrigeerd en opnieuw aangeleverd. Er vindt geen expliciete creditering plaats.</w:t>
      </w:r>
      <w:r>
        <w:t xml:space="preserve"> Afkeuring van declaratieregels gebeurt op </w:t>
      </w:r>
      <w:proofErr w:type="spellStart"/>
      <w:r>
        <w:t>clientniveau</w:t>
      </w:r>
      <w:proofErr w:type="spellEnd"/>
      <w:r>
        <w:t xml:space="preserve"> (in tegenstelling tot op </w:t>
      </w:r>
      <w:proofErr w:type="spellStart"/>
      <w:r>
        <w:t>dagniveau</w:t>
      </w:r>
      <w:proofErr w:type="spellEnd"/>
      <w:r>
        <w:t>), dat betekent dat de gehele declaratie voor een cliënt wordt afgewezen.</w:t>
      </w:r>
      <w:r w:rsidR="00616D79">
        <w:t xml:space="preserve"> [let op: de declaratie voor de andere </w:t>
      </w:r>
      <w:proofErr w:type="spellStart"/>
      <w:r w:rsidR="00616D79">
        <w:t>clienten</w:t>
      </w:r>
      <w:proofErr w:type="spellEnd"/>
      <w:r w:rsidR="00616D79">
        <w:t xml:space="preserve"> die met hetzelfde bericht (= bundel) verstuurd wordt, wordt dus niet afgekeurd]</w:t>
      </w:r>
    </w:p>
    <w:p w14:paraId="59F97F08" w14:textId="77777777" w:rsidR="00393F9A" w:rsidRDefault="00393F9A"/>
    <w:p w14:paraId="57EC6B3E" w14:textId="0EB0E48C" w:rsidR="00EE0C01" w:rsidRPr="00AF6D17" w:rsidRDefault="00EE0C01" w:rsidP="00EE0C01">
      <w:pPr>
        <w:rPr>
          <w:b/>
        </w:rPr>
      </w:pPr>
      <w:r>
        <w:rPr>
          <w:b/>
        </w:rPr>
        <w:t xml:space="preserve">Artikel 2 </w:t>
      </w:r>
      <w:r w:rsidR="00CF5FFD">
        <w:rPr>
          <w:b/>
        </w:rPr>
        <w:t xml:space="preserve">Beleidsinformatie en </w:t>
      </w:r>
      <w:r>
        <w:rPr>
          <w:b/>
        </w:rPr>
        <w:t>Verantwoording</w:t>
      </w:r>
    </w:p>
    <w:p w14:paraId="1C0ABED6" w14:textId="62A96F52" w:rsidR="00EE0C01" w:rsidRDefault="005456FC">
      <w:r>
        <w:t>Artikel 2.1</w:t>
      </w:r>
      <w:r>
        <w:tab/>
        <w:t>Aanbieder verstrekt</w:t>
      </w:r>
      <w:r w:rsidR="00EE0C01">
        <w:t xml:space="preserve"> aan de Landelijke Coördinatie conform artikel 13 van Annex 1 van de overeenkomst de gegevens bedoeld voor monitor</w:t>
      </w:r>
      <w:r>
        <w:t>ing en verantwoording. Gemeente</w:t>
      </w:r>
      <w:r w:rsidR="00EE0C01">
        <w:t xml:space="preserve"> </w:t>
      </w:r>
      <w:r>
        <w:t>zal</w:t>
      </w:r>
      <w:r w:rsidR="00EE0C01">
        <w:t xml:space="preserve"> daarnaast geen aparte verantwoordingsinformatie meer vragen van de aanbieder. De Landelijke Coördinatie </w:t>
      </w:r>
      <w:r w:rsidR="00A3089E">
        <w:t xml:space="preserve">kan op aanvraag </w:t>
      </w:r>
      <w:r w:rsidR="00EE0C01">
        <w:t xml:space="preserve">de beleidsinformatie </w:t>
      </w:r>
      <w:r w:rsidR="00A3089E">
        <w:t>verstrekken</w:t>
      </w:r>
      <w:r w:rsidR="00EE0C01">
        <w:t xml:space="preserve"> aan gemeenten. </w:t>
      </w:r>
    </w:p>
    <w:p w14:paraId="628D3CCA" w14:textId="77777777" w:rsidR="00EE0C01" w:rsidRDefault="00EE0C01"/>
    <w:p w14:paraId="4B9ACF18" w14:textId="54FB54F9" w:rsidR="00EE0C01" w:rsidRDefault="00EE0C01" w:rsidP="00EE0C01">
      <w:r>
        <w:t>Artikel 2.2</w:t>
      </w:r>
      <w:r>
        <w:tab/>
        <w:t xml:space="preserve">In het kader van rechtmatigheid maken Gemeente en Aanbieder nadere afspraken op basis van de “Modeloplegger Rechtmatigheidsvereisten Wmo 2015 en Jeugdwet”. </w:t>
      </w:r>
      <w:r w:rsidR="003D3632">
        <w:t>In principe hanteren gemeenten en aanbieders de modeloplegger integraal, tenzij daar in een separate overeenkomst vooraf</w:t>
      </w:r>
      <w:r w:rsidR="003C3329">
        <w:t xml:space="preserve"> aan het boekjaar</w:t>
      </w:r>
      <w:r w:rsidR="003D3632">
        <w:t xml:space="preserve"> andere afspraken over zijn gemaakt. </w:t>
      </w:r>
      <w:r>
        <w:t>Meer informatie over het voorkomen van risico’s met rechtmatigheid en de modeloplegger zijn beschikbaar via de website van de VNG en de websites van de branches van aanbieders (</w:t>
      </w:r>
      <w:proofErr w:type="spellStart"/>
      <w:r>
        <w:t>ActiZ</w:t>
      </w:r>
      <w:proofErr w:type="spellEnd"/>
      <w:r>
        <w:t>, BTN, Federatie Opvang, GGZ Nederland, Jeugdzorg Nederland en VGN).</w:t>
      </w:r>
    </w:p>
    <w:p w14:paraId="6347E36B" w14:textId="77777777" w:rsidR="00EE0C01" w:rsidRDefault="00EE0C01"/>
    <w:p w14:paraId="48F7AF45" w14:textId="77777777" w:rsidR="003C3329" w:rsidRDefault="003C3329">
      <w:pPr>
        <w:rPr>
          <w:b/>
        </w:rPr>
      </w:pPr>
    </w:p>
    <w:p w14:paraId="1751058C" w14:textId="41A82802" w:rsidR="0031746E" w:rsidRPr="0031746E" w:rsidRDefault="00EE0C01">
      <w:pPr>
        <w:rPr>
          <w:b/>
        </w:rPr>
      </w:pPr>
      <w:r>
        <w:rPr>
          <w:b/>
        </w:rPr>
        <w:t>Artikel 3</w:t>
      </w:r>
      <w:r w:rsidR="0031746E" w:rsidRPr="0031746E">
        <w:rPr>
          <w:b/>
        </w:rPr>
        <w:t xml:space="preserve"> Gegevensaanlevering CAK</w:t>
      </w:r>
    </w:p>
    <w:p w14:paraId="0C6A4F7B" w14:textId="77777777" w:rsidR="00F21B15" w:rsidRDefault="00FF5ECB">
      <w:r>
        <w:lastRenderedPageBreak/>
        <w:t xml:space="preserve">Artikel </w:t>
      </w:r>
      <w:r w:rsidR="00EE0C01">
        <w:t>3</w:t>
      </w:r>
      <w:r w:rsidR="0031746E">
        <w:t xml:space="preserve">.1 </w:t>
      </w:r>
      <w:r>
        <w:tab/>
      </w:r>
      <w:r w:rsidR="006B12B9">
        <w:t xml:space="preserve">De Aanbieder levert namens de </w:t>
      </w:r>
      <w:r w:rsidR="005456FC">
        <w:t>Gemeente</w:t>
      </w:r>
      <w:r w:rsidR="00336CDD">
        <w:t xml:space="preserve"> de gegevens aan het CAK benodigd voor de eigen bijdrage berekening</w:t>
      </w:r>
      <w:r w:rsidR="00590607">
        <w:t xml:space="preserve">. </w:t>
      </w:r>
    </w:p>
    <w:p w14:paraId="416D153D" w14:textId="77777777" w:rsidR="00F21B15" w:rsidRDefault="00F21B15"/>
    <w:p w14:paraId="1A384E1D" w14:textId="4835110D" w:rsidR="004A6858" w:rsidRDefault="00F21B15">
      <w:r>
        <w:t xml:space="preserve">Artikel 3.2 </w:t>
      </w:r>
      <w:r>
        <w:tab/>
      </w:r>
      <w:r w:rsidR="006B12B9">
        <w:t>De Aanbieder gebruikt de codes in de tabel van het CAK genoemd onder artikel 1.7. De Gemeente heeft zich er op dat moment van vergewist dat de bijbehorende tarief plus bijbehorende eenheid (uren, zie artikel 1.9) voor deze productcodes (juist) zijn opgevoerd bij het CAK.</w:t>
      </w:r>
    </w:p>
    <w:p w14:paraId="538B2E05" w14:textId="77777777" w:rsidR="00393F9A" w:rsidRDefault="00393F9A"/>
    <w:p w14:paraId="1F62D4B8" w14:textId="2FE51C47" w:rsidR="00157BA8" w:rsidRDefault="00FF5ECB">
      <w:r>
        <w:t xml:space="preserve">Artikel </w:t>
      </w:r>
      <w:r w:rsidR="00EE0C01">
        <w:t>3</w:t>
      </w:r>
      <w:r w:rsidR="00F21B15">
        <w:t>.3</w:t>
      </w:r>
      <w:r w:rsidR="00AF6D17">
        <w:t xml:space="preserve"> </w:t>
      </w:r>
      <w:r>
        <w:tab/>
      </w:r>
      <w:r w:rsidR="00F21B15">
        <w:t>De</w:t>
      </w:r>
      <w:r w:rsidR="00AF6D17">
        <w:t xml:space="preserve"> </w:t>
      </w:r>
      <w:r>
        <w:t>Aanbieder</w:t>
      </w:r>
      <w:r w:rsidR="00157BA8" w:rsidRPr="00157BA8">
        <w:t xml:space="preserve"> </w:t>
      </w:r>
      <w:r w:rsidR="00F21B15">
        <w:t xml:space="preserve">levert </w:t>
      </w:r>
      <w:r w:rsidR="00157BA8" w:rsidRPr="00157BA8">
        <w:t xml:space="preserve">aan het CAK </w:t>
      </w:r>
      <w:r w:rsidR="00AF6D17">
        <w:t xml:space="preserve">in </w:t>
      </w:r>
      <w:r w:rsidR="00157BA8" w:rsidRPr="00157BA8">
        <w:t xml:space="preserve">dezelfde eenheden </w:t>
      </w:r>
      <w:r w:rsidR="00AF6D17">
        <w:t>als</w:t>
      </w:r>
      <w:r w:rsidR="00157BA8" w:rsidRPr="00157BA8">
        <w:t xml:space="preserve"> </w:t>
      </w:r>
      <w:r w:rsidR="00AF6D17">
        <w:t>met</w:t>
      </w:r>
      <w:r w:rsidR="00157BA8" w:rsidRPr="00157BA8">
        <w:t xml:space="preserve"> de </w:t>
      </w:r>
      <w:r>
        <w:t>Gemeente</w:t>
      </w:r>
      <w:r w:rsidR="00157BA8" w:rsidRPr="00157BA8">
        <w:t xml:space="preserve"> </w:t>
      </w:r>
      <w:r w:rsidR="00AF6D17">
        <w:t>overeen</w:t>
      </w:r>
      <w:r w:rsidR="00157BA8" w:rsidRPr="00157BA8">
        <w:t xml:space="preserve"> gekomen in de declaratie of factuur</w:t>
      </w:r>
      <w:r w:rsidR="004A6858">
        <w:t>.</w:t>
      </w:r>
    </w:p>
    <w:p w14:paraId="766391C2" w14:textId="77777777" w:rsidR="00EE0C01" w:rsidRDefault="00EE0C01" w:rsidP="00EE0C01"/>
    <w:p w14:paraId="64DBC96B" w14:textId="6BF78F89" w:rsidR="00EE0C01" w:rsidRPr="00EE0C01" w:rsidRDefault="00EE0C01" w:rsidP="00EE0C01">
      <w:pPr>
        <w:rPr>
          <w:b/>
        </w:rPr>
      </w:pPr>
      <w:r>
        <w:rPr>
          <w:b/>
        </w:rPr>
        <w:t>Artikel 4</w:t>
      </w:r>
      <w:r w:rsidRPr="00EE0C01">
        <w:rPr>
          <w:b/>
        </w:rPr>
        <w:t xml:space="preserve"> Privacy en informatie-uitwisseling</w:t>
      </w:r>
    </w:p>
    <w:p w14:paraId="3BA90E40" w14:textId="5E9BB3FE" w:rsidR="00EE0C01" w:rsidRDefault="00FF5ECB" w:rsidP="00EE0C01">
      <w:r>
        <w:t>Artikel 4</w:t>
      </w:r>
      <w:r w:rsidR="00EE0C01">
        <w:t>.1</w:t>
      </w:r>
      <w:r w:rsidR="00EE0C01">
        <w:tab/>
        <w:t xml:space="preserve">De verwerking van persoonsgegevens door </w:t>
      </w:r>
      <w:r>
        <w:t>Aanbieder</w:t>
      </w:r>
      <w:r w:rsidR="00EE0C01">
        <w:t xml:space="preserve"> en </w:t>
      </w:r>
      <w:r>
        <w:t>Gemeente</w:t>
      </w:r>
      <w:r w:rsidR="00EE0C01">
        <w:t xml:space="preserve"> ten behoeve van:</w:t>
      </w:r>
    </w:p>
    <w:p w14:paraId="5F947BEC" w14:textId="5D3A50C9" w:rsidR="00EE0C01" w:rsidRDefault="00EE0C01" w:rsidP="005456FC">
      <w:pPr>
        <w:pStyle w:val="Lijstalinea"/>
        <w:numPr>
          <w:ilvl w:val="0"/>
          <w:numId w:val="2"/>
        </w:numPr>
      </w:pPr>
      <w:r>
        <w:t>Het administratieve proces</w:t>
      </w:r>
      <w:r w:rsidR="005A6024">
        <w:t>;</w:t>
      </w:r>
    </w:p>
    <w:p w14:paraId="5E63024C" w14:textId="676F6E81" w:rsidR="00EE0C01" w:rsidRDefault="005456FC" w:rsidP="005456FC">
      <w:pPr>
        <w:pStyle w:val="Lijstalinea"/>
        <w:numPr>
          <w:ilvl w:val="0"/>
          <w:numId w:val="2"/>
        </w:numPr>
      </w:pPr>
      <w:r>
        <w:t>V</w:t>
      </w:r>
      <w:r w:rsidR="00EE0C01">
        <w:t xml:space="preserve">erantwoording inzake rechtmatigheid en </w:t>
      </w:r>
    </w:p>
    <w:p w14:paraId="175BF73A" w14:textId="598465CF" w:rsidR="00EE0C01" w:rsidRDefault="00EE0C01" w:rsidP="005456FC">
      <w:pPr>
        <w:pStyle w:val="Lijstalinea"/>
        <w:numPr>
          <w:ilvl w:val="0"/>
          <w:numId w:val="2"/>
        </w:numPr>
      </w:pPr>
      <w:r>
        <w:t xml:space="preserve">Eventueel fraude onderzoek </w:t>
      </w:r>
    </w:p>
    <w:p w14:paraId="3E2828D6" w14:textId="77777777" w:rsidR="00EE0C01" w:rsidRDefault="00EE0C01" w:rsidP="00EE0C01">
      <w:r>
        <w:t xml:space="preserve">geschiedt met in achtneming van de van toepassing zijnde wet- en regelgeving, </w:t>
      </w:r>
    </w:p>
    <w:p w14:paraId="25B37F7F" w14:textId="213A075D" w:rsidR="00EE0C01" w:rsidRDefault="00EE0C01" w:rsidP="00EE0C01">
      <w:r>
        <w:t>waaronder de Wet bescherm</w:t>
      </w:r>
      <w:r w:rsidR="005456FC">
        <w:t>ing persoonsgegevens, Wmo 2015</w:t>
      </w:r>
      <w:r w:rsidR="00DF3B8A">
        <w:t xml:space="preserve"> </w:t>
      </w:r>
      <w:r>
        <w:t>en de in de</w:t>
      </w:r>
    </w:p>
    <w:p w14:paraId="722EF83C" w14:textId="77777777" w:rsidR="00EE0C01" w:rsidRDefault="00EE0C01" w:rsidP="00EE0C01">
      <w:r>
        <w:t>Wet op de geneeskundige behandelingsovereenkomst (WGBO) gestelde voorschriften en (tijdelijke) ministeriële regelingen.</w:t>
      </w:r>
    </w:p>
    <w:p w14:paraId="0EF6127B" w14:textId="77777777" w:rsidR="00EE0C01" w:rsidRDefault="00EE0C01" w:rsidP="00EE0C01"/>
    <w:p w14:paraId="112FB5C1" w14:textId="17E6651F" w:rsidR="00EE0C01" w:rsidRDefault="005456FC" w:rsidP="00EE0C01">
      <w:r>
        <w:t>Artikel 4</w:t>
      </w:r>
      <w:r w:rsidR="00EE0C01">
        <w:t>.2</w:t>
      </w:r>
      <w:r w:rsidR="00EE0C01">
        <w:tab/>
        <w:t xml:space="preserve">Bij de uitwisseling van persoonsgegevens wordt indien mogelijk gebruik gemaakt van het landelijke berichtenstelsel conform artikel 1. </w:t>
      </w:r>
    </w:p>
    <w:p w14:paraId="6E5C6203" w14:textId="77777777" w:rsidR="00EE0C01" w:rsidRDefault="00EE0C01" w:rsidP="00EE0C01"/>
    <w:p w14:paraId="70C67694" w14:textId="073C5201" w:rsidR="00EE0C01" w:rsidRDefault="005456FC">
      <w:r>
        <w:t>Artikel 4</w:t>
      </w:r>
      <w:r w:rsidR="00EE0C01">
        <w:t>.3</w:t>
      </w:r>
      <w:r w:rsidR="00EE0C01">
        <w:tab/>
      </w:r>
      <w:r>
        <w:t>Gemeente</w:t>
      </w:r>
      <w:r w:rsidR="00EE0C01">
        <w:t xml:space="preserve"> en </w:t>
      </w:r>
      <w:r>
        <w:t>Aanbieder</w:t>
      </w:r>
      <w:r w:rsidR="00EE0C01">
        <w:t xml:space="preserve"> treffen passende organisatorische en technische maatregelen voor het veilig kunnen uitwisselen van persoonsgegevens en vertrouwelijke informatie.</w:t>
      </w:r>
    </w:p>
    <w:p w14:paraId="7313FD40" w14:textId="77777777" w:rsidR="005456FC" w:rsidRDefault="005456FC"/>
    <w:p w14:paraId="4D29043B" w14:textId="47AE7488" w:rsidR="00AF6D17" w:rsidRPr="00AF6D17" w:rsidRDefault="005456FC">
      <w:pPr>
        <w:rPr>
          <w:b/>
        </w:rPr>
      </w:pPr>
      <w:r>
        <w:rPr>
          <w:b/>
        </w:rPr>
        <w:t>5</w:t>
      </w:r>
      <w:r w:rsidR="00AF6D17" w:rsidRPr="00AF6D17">
        <w:rPr>
          <w:b/>
        </w:rPr>
        <w:t xml:space="preserve"> Contactgegevens</w:t>
      </w:r>
    </w:p>
    <w:p w14:paraId="259C86CD" w14:textId="4A39342E" w:rsidR="000B5384" w:rsidRDefault="005456FC">
      <w:r>
        <w:t>Artikel 5</w:t>
      </w:r>
      <w:r w:rsidR="00AF6D17">
        <w:t xml:space="preserve">.1 </w:t>
      </w:r>
      <w:r>
        <w:tab/>
      </w:r>
      <w:r w:rsidR="00AF6D17">
        <w:t xml:space="preserve">Gegevens van de contactpersoon bij de individuele gemeenten die als aanspreekpunt functioneren ten aanzien van </w:t>
      </w:r>
      <w:r w:rsidR="00AB1F08">
        <w:t xml:space="preserve">het administratieve proces worden door gemeenten die gebruik maken van de landelijke overeenkomst bekend gemaakt aan </w:t>
      </w:r>
      <w:r>
        <w:t>Aanbieder</w:t>
      </w:r>
      <w:r w:rsidR="00AB1F08">
        <w:t xml:space="preserve">. </w:t>
      </w:r>
    </w:p>
    <w:p w14:paraId="043873DC" w14:textId="77777777" w:rsidR="00AB1F08" w:rsidRDefault="00AB1F08"/>
    <w:p w14:paraId="6290FFFE" w14:textId="037AAC09" w:rsidR="00B23F54" w:rsidRDefault="005456FC">
      <w:r>
        <w:t>Artikel 5.2</w:t>
      </w:r>
      <w:r>
        <w:tab/>
      </w:r>
      <w:r w:rsidR="00AB1F08">
        <w:t xml:space="preserve">De gegevens van de contactpersoon bij de </w:t>
      </w:r>
      <w:r>
        <w:t>Aanbieder</w:t>
      </w:r>
      <w:r w:rsidR="00AB1F08">
        <w:t xml:space="preserve"> ten aanzien van het administratieve proces zijn: </w:t>
      </w:r>
    </w:p>
    <w:p w14:paraId="6FB9A217" w14:textId="77777777" w:rsidR="00B23F54" w:rsidRDefault="00B23F54"/>
    <w:tbl>
      <w:tblPr>
        <w:tblStyle w:val="Tabelraster"/>
        <w:tblW w:w="0" w:type="auto"/>
        <w:tblLook w:val="04A0" w:firstRow="1" w:lastRow="0" w:firstColumn="1" w:lastColumn="0" w:noHBand="0" w:noVBand="1"/>
      </w:tblPr>
      <w:tblGrid>
        <w:gridCol w:w="4258"/>
        <w:gridCol w:w="4258"/>
      </w:tblGrid>
      <w:tr w:rsidR="00541365" w:rsidRPr="005249ED" w14:paraId="0577C2FF" w14:textId="77777777" w:rsidTr="000B3ACB">
        <w:tc>
          <w:tcPr>
            <w:tcW w:w="4258" w:type="dxa"/>
          </w:tcPr>
          <w:p w14:paraId="45DB04FC" w14:textId="77777777" w:rsidR="00541365" w:rsidRPr="005249ED" w:rsidRDefault="00541365" w:rsidP="000B3ACB">
            <w:pPr>
              <w:rPr>
                <w:b/>
              </w:rPr>
            </w:pPr>
            <w:r w:rsidRPr="005249ED">
              <w:rPr>
                <w:b/>
              </w:rPr>
              <w:t>Aanbieder ZG</w:t>
            </w:r>
          </w:p>
        </w:tc>
        <w:tc>
          <w:tcPr>
            <w:tcW w:w="4258" w:type="dxa"/>
          </w:tcPr>
          <w:p w14:paraId="7E5B0911" w14:textId="4333F994" w:rsidR="00541365" w:rsidRPr="005249ED" w:rsidRDefault="00541365" w:rsidP="000B3ACB">
            <w:pPr>
              <w:rPr>
                <w:b/>
              </w:rPr>
            </w:pPr>
            <w:r>
              <w:rPr>
                <w:b/>
              </w:rPr>
              <w:t xml:space="preserve">Contactpersoon </w:t>
            </w:r>
            <w:r w:rsidRPr="005249ED">
              <w:rPr>
                <w:b/>
              </w:rPr>
              <w:t xml:space="preserve">voor </w:t>
            </w:r>
            <w:proofErr w:type="spellStart"/>
            <w:r w:rsidRPr="005249ED">
              <w:rPr>
                <w:b/>
              </w:rPr>
              <w:t>iWmo</w:t>
            </w:r>
            <w:proofErr w:type="spellEnd"/>
          </w:p>
        </w:tc>
      </w:tr>
      <w:tr w:rsidR="00541365" w14:paraId="21155D75" w14:textId="77777777" w:rsidTr="000B3ACB">
        <w:tc>
          <w:tcPr>
            <w:tcW w:w="4258" w:type="dxa"/>
          </w:tcPr>
          <w:p w14:paraId="5E8060D0" w14:textId="77777777" w:rsidR="00541365" w:rsidRDefault="00541365" w:rsidP="000B3ACB">
            <w:proofErr w:type="spellStart"/>
            <w:r w:rsidRPr="001E4308">
              <w:t>Bartimeus</w:t>
            </w:r>
            <w:proofErr w:type="spellEnd"/>
          </w:p>
        </w:tc>
        <w:tc>
          <w:tcPr>
            <w:tcW w:w="4258" w:type="dxa"/>
          </w:tcPr>
          <w:p w14:paraId="7E0F03E5" w14:textId="76CFBA14" w:rsidR="00541365" w:rsidRDefault="00761E61" w:rsidP="000B3ACB">
            <w:r w:rsidRPr="00761E61">
              <w:t>indicaties@bartimeus.nl  leidinggevende GJ van Baal (in begin 2016 nog begeleid door R Vos rvos@bartimeus.nl )</w:t>
            </w:r>
          </w:p>
        </w:tc>
      </w:tr>
      <w:tr w:rsidR="00541365" w14:paraId="0926D9DD" w14:textId="77777777" w:rsidTr="000B3ACB">
        <w:tc>
          <w:tcPr>
            <w:tcW w:w="4258" w:type="dxa"/>
          </w:tcPr>
          <w:p w14:paraId="4BAF0F52" w14:textId="77777777" w:rsidR="00541365" w:rsidRDefault="00541365" w:rsidP="000B3ACB">
            <w:r w:rsidRPr="001E4308">
              <w:t>De Noorderbrug</w:t>
            </w:r>
          </w:p>
        </w:tc>
        <w:tc>
          <w:tcPr>
            <w:tcW w:w="4258" w:type="dxa"/>
          </w:tcPr>
          <w:p w14:paraId="15EB9103" w14:textId="77777777" w:rsidR="00541365" w:rsidRDefault="00541365" w:rsidP="000B3ACB"/>
        </w:tc>
      </w:tr>
      <w:tr w:rsidR="00541365" w14:paraId="1AC5F678" w14:textId="77777777" w:rsidTr="000B3ACB">
        <w:tc>
          <w:tcPr>
            <w:tcW w:w="4258" w:type="dxa"/>
          </w:tcPr>
          <w:p w14:paraId="3280A87C" w14:textId="77777777" w:rsidR="00541365" w:rsidRDefault="00541365" w:rsidP="000B3ACB">
            <w:r w:rsidRPr="001E4308">
              <w:t xml:space="preserve">Koninklijke Visio </w:t>
            </w:r>
          </w:p>
        </w:tc>
        <w:tc>
          <w:tcPr>
            <w:tcW w:w="4258" w:type="dxa"/>
          </w:tcPr>
          <w:p w14:paraId="0CCC758A" w14:textId="7642FC6D" w:rsidR="00541365" w:rsidRDefault="00DB1BF0" w:rsidP="000B3ACB">
            <w:r>
              <w:t xml:space="preserve">Sander van Eersel </w:t>
            </w:r>
            <w:r w:rsidRPr="00DB1BF0">
              <w:t>aanbestedingzorg@visio.org</w:t>
            </w:r>
          </w:p>
        </w:tc>
      </w:tr>
      <w:tr w:rsidR="00541365" w:rsidRPr="000D12A3" w14:paraId="75A78E61" w14:textId="77777777" w:rsidTr="000B3ACB">
        <w:tc>
          <w:tcPr>
            <w:tcW w:w="4258" w:type="dxa"/>
          </w:tcPr>
          <w:p w14:paraId="378D0A13" w14:textId="77777777" w:rsidR="00541365" w:rsidRDefault="00541365" w:rsidP="000B3ACB">
            <w:proofErr w:type="spellStart"/>
            <w:r w:rsidRPr="001E4308">
              <w:t>Kalorama</w:t>
            </w:r>
            <w:proofErr w:type="spellEnd"/>
          </w:p>
        </w:tc>
        <w:tc>
          <w:tcPr>
            <w:tcW w:w="4258" w:type="dxa"/>
          </w:tcPr>
          <w:p w14:paraId="4E660262" w14:textId="6514A296" w:rsidR="00541365" w:rsidRPr="0003437D" w:rsidRDefault="00727571" w:rsidP="000B3ACB">
            <w:pPr>
              <w:rPr>
                <w:lang w:val="fr-FR"/>
              </w:rPr>
            </w:pPr>
            <w:proofErr w:type="spellStart"/>
            <w:r w:rsidRPr="0003437D">
              <w:rPr>
                <w:lang w:val="fr-FR"/>
              </w:rPr>
              <w:t>Monic</w:t>
            </w:r>
            <w:proofErr w:type="spellEnd"/>
            <w:r w:rsidRPr="0003437D">
              <w:rPr>
                <w:lang w:val="fr-FR"/>
              </w:rPr>
              <w:t xml:space="preserve"> Meurs – </w:t>
            </w:r>
            <w:proofErr w:type="spellStart"/>
            <w:r w:rsidRPr="0003437D">
              <w:rPr>
                <w:lang w:val="fr-FR"/>
              </w:rPr>
              <w:t>Creemers</w:t>
            </w:r>
            <w:proofErr w:type="spellEnd"/>
          </w:p>
          <w:p w14:paraId="38C84262" w14:textId="3A1D7D51" w:rsidR="00727571" w:rsidRPr="0003437D" w:rsidRDefault="00727571" w:rsidP="000B3ACB">
            <w:pPr>
              <w:rPr>
                <w:lang w:val="fr-FR"/>
              </w:rPr>
            </w:pPr>
            <w:r w:rsidRPr="0003437D">
              <w:rPr>
                <w:lang w:val="fr-FR"/>
              </w:rPr>
              <w:t>clientbureau@kalorama.nl</w:t>
            </w:r>
          </w:p>
        </w:tc>
      </w:tr>
      <w:tr w:rsidR="00541365" w14:paraId="04CBD26A" w14:textId="77777777" w:rsidTr="000B3ACB">
        <w:tc>
          <w:tcPr>
            <w:tcW w:w="4258" w:type="dxa"/>
          </w:tcPr>
          <w:p w14:paraId="380E04D8" w14:textId="77777777" w:rsidR="00541365" w:rsidRDefault="00541365" w:rsidP="000B3ACB">
            <w:r w:rsidRPr="001E4308">
              <w:t>De Gelderhorst</w:t>
            </w:r>
          </w:p>
        </w:tc>
        <w:tc>
          <w:tcPr>
            <w:tcW w:w="4258" w:type="dxa"/>
          </w:tcPr>
          <w:p w14:paraId="0CDC91A3" w14:textId="7F4DAE4E" w:rsidR="00215E5C" w:rsidRDefault="00215E5C" w:rsidP="000B3ACB">
            <w:r>
              <w:t xml:space="preserve">Henk van der Veen: </w:t>
            </w:r>
            <w:hyperlink r:id="rId9" w:history="1">
              <w:r w:rsidRPr="00035D6E">
                <w:rPr>
                  <w:rStyle w:val="Hyperlink"/>
                </w:rPr>
                <w:t>h.vanderveen@gelderhorst.nl</w:t>
              </w:r>
            </w:hyperlink>
            <w:r>
              <w:t xml:space="preserve"> </w:t>
            </w:r>
          </w:p>
        </w:tc>
      </w:tr>
      <w:tr w:rsidR="00541365" w:rsidRPr="000D12A3" w14:paraId="4B8544D5" w14:textId="77777777" w:rsidTr="000B3ACB">
        <w:tc>
          <w:tcPr>
            <w:tcW w:w="4258" w:type="dxa"/>
          </w:tcPr>
          <w:p w14:paraId="1A53E8D4" w14:textId="4514D8BB" w:rsidR="00541365" w:rsidRDefault="00541365" w:rsidP="000B3ACB">
            <w:r w:rsidRPr="001E4308">
              <w:lastRenderedPageBreak/>
              <w:t xml:space="preserve">Robert </w:t>
            </w:r>
            <w:proofErr w:type="spellStart"/>
            <w:r w:rsidRPr="001E4308">
              <w:t>Coppes</w:t>
            </w:r>
            <w:proofErr w:type="spellEnd"/>
            <w:r w:rsidRPr="001E4308">
              <w:t xml:space="preserve"> Stichting</w:t>
            </w:r>
          </w:p>
        </w:tc>
        <w:tc>
          <w:tcPr>
            <w:tcW w:w="4258" w:type="dxa"/>
          </w:tcPr>
          <w:p w14:paraId="2017C8F6" w14:textId="4AA9D903" w:rsidR="00541365" w:rsidRPr="000D12A3" w:rsidRDefault="008275EF" w:rsidP="000D12A3">
            <w:pPr>
              <w:rPr>
                <w:lang w:val="en-US"/>
              </w:rPr>
            </w:pPr>
            <w:r w:rsidRPr="008275EF">
              <w:rPr>
                <w:lang w:val="en-US"/>
              </w:rPr>
              <w:t>Florian Maissan</w:t>
            </w:r>
            <w:r w:rsidR="000D12A3" w:rsidRPr="008275EF">
              <w:rPr>
                <w:lang w:val="en-US"/>
              </w:rPr>
              <w:t>,</w:t>
            </w:r>
            <w:r w:rsidR="000D12A3" w:rsidRPr="000D12A3">
              <w:rPr>
                <w:color w:val="1F497D"/>
                <w:lang w:val="en-US"/>
              </w:rPr>
              <w:br/>
            </w:r>
            <w:hyperlink r:id="rId10" w:history="1">
              <w:r w:rsidR="000D12A3" w:rsidRPr="000D12A3">
                <w:rPr>
                  <w:rStyle w:val="Hyperlink"/>
                  <w:lang w:val="en-US"/>
                </w:rPr>
                <w:t>clientenadministratie@robe</w:t>
              </w:r>
              <w:bookmarkStart w:id="0" w:name="_GoBack"/>
              <w:bookmarkEnd w:id="0"/>
              <w:r w:rsidR="000D12A3" w:rsidRPr="000D12A3">
                <w:rPr>
                  <w:rStyle w:val="Hyperlink"/>
                  <w:lang w:val="en-US"/>
                </w:rPr>
                <w:t>rtcoppes.nl</w:t>
              </w:r>
            </w:hyperlink>
          </w:p>
        </w:tc>
      </w:tr>
      <w:tr w:rsidR="00541365" w14:paraId="6DEA3842" w14:textId="77777777" w:rsidTr="000B3ACB">
        <w:tc>
          <w:tcPr>
            <w:tcW w:w="4258" w:type="dxa"/>
          </w:tcPr>
          <w:p w14:paraId="52AE7373" w14:textId="77777777" w:rsidR="00541365" w:rsidRDefault="00541365" w:rsidP="000B3ACB">
            <w:r w:rsidRPr="001E4308">
              <w:t>GGMD</w:t>
            </w:r>
          </w:p>
        </w:tc>
        <w:tc>
          <w:tcPr>
            <w:tcW w:w="4258" w:type="dxa"/>
          </w:tcPr>
          <w:p w14:paraId="098FD4FA" w14:textId="2276D63C" w:rsidR="00541365" w:rsidRDefault="00CF0D7C" w:rsidP="00CF0D7C">
            <w:r>
              <w:t>Walter van Nieuwkoop,</w:t>
            </w:r>
            <w:r w:rsidRPr="00CF0D7C">
              <w:t xml:space="preserve"> </w:t>
            </w:r>
            <w:hyperlink r:id="rId11" w:history="1">
              <w:r w:rsidRPr="00035D6E">
                <w:rPr>
                  <w:rStyle w:val="Hyperlink"/>
                </w:rPr>
                <w:t>wmo@ggmd.nl</w:t>
              </w:r>
            </w:hyperlink>
            <w:r>
              <w:t xml:space="preserve"> </w:t>
            </w:r>
          </w:p>
        </w:tc>
      </w:tr>
      <w:tr w:rsidR="00541365" w14:paraId="5F380DEC" w14:textId="77777777" w:rsidTr="000B3ACB">
        <w:tc>
          <w:tcPr>
            <w:tcW w:w="4258" w:type="dxa"/>
          </w:tcPr>
          <w:p w14:paraId="4D7D3A15" w14:textId="77777777" w:rsidR="00541365" w:rsidRDefault="00541365" w:rsidP="000B3ACB">
            <w:proofErr w:type="spellStart"/>
            <w:r w:rsidRPr="001E4308">
              <w:t>Kentalis</w:t>
            </w:r>
            <w:proofErr w:type="spellEnd"/>
          </w:p>
        </w:tc>
        <w:tc>
          <w:tcPr>
            <w:tcW w:w="4258" w:type="dxa"/>
          </w:tcPr>
          <w:p w14:paraId="05C2406E" w14:textId="77777777" w:rsidR="0083246E" w:rsidRPr="0003437D" w:rsidRDefault="0083246E" w:rsidP="0083246E">
            <w:r w:rsidRPr="0003437D">
              <w:t>Dennis de Dreu / d.dedreu@kentalis.nl</w:t>
            </w:r>
          </w:p>
          <w:p w14:paraId="582A0614" w14:textId="0E5D5580" w:rsidR="00541365" w:rsidRDefault="0083246E" w:rsidP="0083246E">
            <w:r w:rsidRPr="0003437D">
              <w:t xml:space="preserve">Marinka van der Meer / </w:t>
            </w:r>
            <w:hyperlink r:id="rId12" w:history="1">
              <w:r w:rsidR="000D12A3" w:rsidRPr="002735B4">
                <w:rPr>
                  <w:rStyle w:val="Hyperlink"/>
                </w:rPr>
                <w:t>m.vandermeer@kentalis.nl</w:t>
              </w:r>
            </w:hyperlink>
            <w:r w:rsidR="000D12A3">
              <w:t xml:space="preserve"> </w:t>
            </w:r>
          </w:p>
        </w:tc>
      </w:tr>
    </w:tbl>
    <w:p w14:paraId="472B27E4" w14:textId="77777777" w:rsidR="00144907" w:rsidRDefault="00144907"/>
    <w:p w14:paraId="7BFFCFC7" w14:textId="5543E471" w:rsidR="00A50DBD" w:rsidRDefault="00A50DBD">
      <w:r>
        <w:t xml:space="preserve">In 2016 vindt een evaluatie plaats van de afspraken in dit addendum, waarop in onderling overleg </w:t>
      </w:r>
      <w:r w:rsidR="003D3632">
        <w:t xml:space="preserve">en na besluitvorming </w:t>
      </w:r>
      <w:r>
        <w:t xml:space="preserve">eventuele aanpassingen plaatsvinden. </w:t>
      </w:r>
    </w:p>
    <w:sectPr w:rsidR="00A50DBD" w:rsidSect="00B140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89ED" w14:textId="77777777" w:rsidR="006B12B9" w:rsidRDefault="006B12B9" w:rsidP="000A2E3E">
      <w:r>
        <w:separator/>
      </w:r>
    </w:p>
  </w:endnote>
  <w:endnote w:type="continuationSeparator" w:id="0">
    <w:p w14:paraId="6439DC17" w14:textId="77777777" w:rsidR="006B12B9" w:rsidRDefault="006B12B9" w:rsidP="000A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A30D" w14:textId="77777777" w:rsidR="006B12B9" w:rsidRDefault="006B12B9" w:rsidP="000A2E3E">
      <w:r>
        <w:separator/>
      </w:r>
    </w:p>
  </w:footnote>
  <w:footnote w:type="continuationSeparator" w:id="0">
    <w:p w14:paraId="61B84C78" w14:textId="77777777" w:rsidR="006B12B9" w:rsidRDefault="006B12B9" w:rsidP="000A2E3E">
      <w:r>
        <w:continuationSeparator/>
      </w:r>
    </w:p>
  </w:footnote>
  <w:footnote w:id="1">
    <w:p w14:paraId="795BB44C" w14:textId="40496AAF" w:rsidR="006B12B9" w:rsidRDefault="006B12B9">
      <w:pPr>
        <w:pStyle w:val="Voetnoottekst"/>
      </w:pPr>
      <w:r>
        <w:rPr>
          <w:rStyle w:val="Voetnootmarkering"/>
        </w:rPr>
        <w:footnoteRef/>
      </w:r>
      <w:r>
        <w:t xml:space="preserve"> Naar eerder voorstel hiervoor in 2015</w:t>
      </w:r>
    </w:p>
  </w:footnote>
  <w:footnote w:id="2">
    <w:p w14:paraId="2E17A314" w14:textId="7DD3760C" w:rsidR="006B12B9" w:rsidRDefault="006B12B9">
      <w:pPr>
        <w:pStyle w:val="Voetnoottekst"/>
      </w:pPr>
      <w:r>
        <w:rPr>
          <w:rStyle w:val="Voetnootmarkering"/>
        </w:rPr>
        <w:footnoteRef/>
      </w:r>
      <w:r>
        <w:t xml:space="preserve"> </w:t>
      </w:r>
      <w:hyperlink r:id="rId1" w:history="1">
        <w:r w:rsidRPr="00D92AB4">
          <w:rPr>
            <w:rStyle w:val="Hyperlink"/>
          </w:rPr>
          <w:t>https://vng.nl/files/vng/publicaties/2015/isd-handreiking-declaratie-en-factuur-v2.0-20151105.pdf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D4E"/>
    <w:multiLevelType w:val="hybridMultilevel"/>
    <w:tmpl w:val="FF0047D2"/>
    <w:lvl w:ilvl="0" w:tplc="7390C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45538"/>
    <w:multiLevelType w:val="hybridMultilevel"/>
    <w:tmpl w:val="262A6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17F72"/>
    <w:multiLevelType w:val="hybridMultilevel"/>
    <w:tmpl w:val="11CC0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AB"/>
    <w:rsid w:val="00017663"/>
    <w:rsid w:val="0003437D"/>
    <w:rsid w:val="00035315"/>
    <w:rsid w:val="0003589B"/>
    <w:rsid w:val="00072C94"/>
    <w:rsid w:val="000A2E3E"/>
    <w:rsid w:val="000B3ACB"/>
    <w:rsid w:val="000B5384"/>
    <w:rsid w:val="000C2D22"/>
    <w:rsid w:val="000D12A3"/>
    <w:rsid w:val="0011088A"/>
    <w:rsid w:val="00144907"/>
    <w:rsid w:val="00157BA8"/>
    <w:rsid w:val="001D1D12"/>
    <w:rsid w:val="00215E5C"/>
    <w:rsid w:val="002628EC"/>
    <w:rsid w:val="0026471F"/>
    <w:rsid w:val="00296D53"/>
    <w:rsid w:val="00303D6E"/>
    <w:rsid w:val="0031746E"/>
    <w:rsid w:val="00325BDB"/>
    <w:rsid w:val="00336CDD"/>
    <w:rsid w:val="00342084"/>
    <w:rsid w:val="00393F9A"/>
    <w:rsid w:val="00396AB9"/>
    <w:rsid w:val="003B28AD"/>
    <w:rsid w:val="003C3329"/>
    <w:rsid w:val="003D3632"/>
    <w:rsid w:val="003E5EC5"/>
    <w:rsid w:val="00455860"/>
    <w:rsid w:val="004A6858"/>
    <w:rsid w:val="004C6D65"/>
    <w:rsid w:val="004D2667"/>
    <w:rsid w:val="004D5992"/>
    <w:rsid w:val="005249ED"/>
    <w:rsid w:val="00541365"/>
    <w:rsid w:val="005456FC"/>
    <w:rsid w:val="00570811"/>
    <w:rsid w:val="00580EBA"/>
    <w:rsid w:val="00590607"/>
    <w:rsid w:val="005A6024"/>
    <w:rsid w:val="005F3C2F"/>
    <w:rsid w:val="006101A2"/>
    <w:rsid w:val="00616D79"/>
    <w:rsid w:val="00647225"/>
    <w:rsid w:val="00683724"/>
    <w:rsid w:val="006B12B9"/>
    <w:rsid w:val="006C0213"/>
    <w:rsid w:val="006F052F"/>
    <w:rsid w:val="0070182C"/>
    <w:rsid w:val="00727571"/>
    <w:rsid w:val="00736D46"/>
    <w:rsid w:val="00761E61"/>
    <w:rsid w:val="007957A8"/>
    <w:rsid w:val="007E2FE5"/>
    <w:rsid w:val="007F1C8D"/>
    <w:rsid w:val="00814A1D"/>
    <w:rsid w:val="008275EF"/>
    <w:rsid w:val="0083246E"/>
    <w:rsid w:val="00842650"/>
    <w:rsid w:val="00870CAB"/>
    <w:rsid w:val="008C1A88"/>
    <w:rsid w:val="008F06ED"/>
    <w:rsid w:val="009508A9"/>
    <w:rsid w:val="009C0A49"/>
    <w:rsid w:val="009C120F"/>
    <w:rsid w:val="009D3C44"/>
    <w:rsid w:val="009D6A69"/>
    <w:rsid w:val="009F7608"/>
    <w:rsid w:val="00A05D91"/>
    <w:rsid w:val="00A3089E"/>
    <w:rsid w:val="00A50DBD"/>
    <w:rsid w:val="00AA438D"/>
    <w:rsid w:val="00AB067B"/>
    <w:rsid w:val="00AB1F08"/>
    <w:rsid w:val="00AC54E0"/>
    <w:rsid w:val="00AE0736"/>
    <w:rsid w:val="00AF1805"/>
    <w:rsid w:val="00AF6D17"/>
    <w:rsid w:val="00B02270"/>
    <w:rsid w:val="00B14078"/>
    <w:rsid w:val="00B23F54"/>
    <w:rsid w:val="00B45E2F"/>
    <w:rsid w:val="00B90AE5"/>
    <w:rsid w:val="00B9256A"/>
    <w:rsid w:val="00BA2026"/>
    <w:rsid w:val="00BC1F75"/>
    <w:rsid w:val="00BE0618"/>
    <w:rsid w:val="00C16584"/>
    <w:rsid w:val="00C2056C"/>
    <w:rsid w:val="00C35499"/>
    <w:rsid w:val="00C3767A"/>
    <w:rsid w:val="00C52361"/>
    <w:rsid w:val="00CB3993"/>
    <w:rsid w:val="00CF0D7C"/>
    <w:rsid w:val="00CF5FFD"/>
    <w:rsid w:val="00D1312F"/>
    <w:rsid w:val="00D47C0B"/>
    <w:rsid w:val="00D70F97"/>
    <w:rsid w:val="00DB1BF0"/>
    <w:rsid w:val="00DD1D97"/>
    <w:rsid w:val="00DF3B8A"/>
    <w:rsid w:val="00E235BF"/>
    <w:rsid w:val="00EA569D"/>
    <w:rsid w:val="00EC730F"/>
    <w:rsid w:val="00EE0C01"/>
    <w:rsid w:val="00F21B15"/>
    <w:rsid w:val="00F520B9"/>
    <w:rsid w:val="00F55212"/>
    <w:rsid w:val="00FF5E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68E3"/>
  <w14:defaultImageDpi w14:val="300"/>
  <w15:docId w15:val="{7B377F93-BE7E-4238-8A6C-C1A8DE0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D97"/>
    <w:rPr>
      <w:color w:val="0000FF" w:themeColor="hyperlink"/>
      <w:u w:val="single"/>
    </w:rPr>
  </w:style>
  <w:style w:type="character" w:styleId="GevolgdeHyperlink">
    <w:name w:val="FollowedHyperlink"/>
    <w:basedOn w:val="Standaardalinea-lettertype"/>
    <w:uiPriority w:val="99"/>
    <w:semiHidden/>
    <w:unhideWhenUsed/>
    <w:rsid w:val="0026471F"/>
    <w:rPr>
      <w:color w:val="800080" w:themeColor="followedHyperlink"/>
      <w:u w:val="single"/>
    </w:rPr>
  </w:style>
  <w:style w:type="character" w:styleId="Verwijzingopmerking">
    <w:name w:val="annotation reference"/>
    <w:basedOn w:val="Standaardalinea-lettertype"/>
    <w:uiPriority w:val="99"/>
    <w:semiHidden/>
    <w:unhideWhenUsed/>
    <w:rsid w:val="0070182C"/>
    <w:rPr>
      <w:sz w:val="18"/>
      <w:szCs w:val="18"/>
    </w:rPr>
  </w:style>
  <w:style w:type="paragraph" w:styleId="Tekstopmerking">
    <w:name w:val="annotation text"/>
    <w:basedOn w:val="Standaard"/>
    <w:link w:val="TekstopmerkingChar"/>
    <w:uiPriority w:val="99"/>
    <w:semiHidden/>
    <w:unhideWhenUsed/>
    <w:rsid w:val="0070182C"/>
  </w:style>
  <w:style w:type="character" w:customStyle="1" w:styleId="TekstopmerkingChar">
    <w:name w:val="Tekst opmerking Char"/>
    <w:basedOn w:val="Standaardalinea-lettertype"/>
    <w:link w:val="Tekstopmerking"/>
    <w:uiPriority w:val="99"/>
    <w:semiHidden/>
    <w:rsid w:val="0070182C"/>
  </w:style>
  <w:style w:type="paragraph" w:styleId="Onderwerpvanopmerking">
    <w:name w:val="annotation subject"/>
    <w:basedOn w:val="Tekstopmerking"/>
    <w:next w:val="Tekstopmerking"/>
    <w:link w:val="OnderwerpvanopmerkingChar"/>
    <w:uiPriority w:val="99"/>
    <w:semiHidden/>
    <w:unhideWhenUsed/>
    <w:rsid w:val="0070182C"/>
    <w:rPr>
      <w:b/>
      <w:bCs/>
      <w:sz w:val="20"/>
      <w:szCs w:val="20"/>
    </w:rPr>
  </w:style>
  <w:style w:type="character" w:customStyle="1" w:styleId="OnderwerpvanopmerkingChar">
    <w:name w:val="Onderwerp van opmerking Char"/>
    <w:basedOn w:val="TekstopmerkingChar"/>
    <w:link w:val="Onderwerpvanopmerking"/>
    <w:uiPriority w:val="99"/>
    <w:semiHidden/>
    <w:rsid w:val="0070182C"/>
    <w:rPr>
      <w:b/>
      <w:bCs/>
      <w:sz w:val="20"/>
      <w:szCs w:val="20"/>
    </w:rPr>
  </w:style>
  <w:style w:type="paragraph" w:styleId="Ballontekst">
    <w:name w:val="Balloon Text"/>
    <w:basedOn w:val="Standaard"/>
    <w:link w:val="BallontekstChar"/>
    <w:uiPriority w:val="99"/>
    <w:semiHidden/>
    <w:unhideWhenUsed/>
    <w:rsid w:val="007018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0182C"/>
    <w:rPr>
      <w:rFonts w:ascii="Lucida Grande" w:hAnsi="Lucida Grande" w:cs="Lucida Grande"/>
      <w:sz w:val="18"/>
      <w:szCs w:val="18"/>
    </w:rPr>
  </w:style>
  <w:style w:type="paragraph" w:styleId="Voetnoottekst">
    <w:name w:val="footnote text"/>
    <w:basedOn w:val="Standaard"/>
    <w:link w:val="VoetnoottekstChar"/>
    <w:uiPriority w:val="99"/>
    <w:unhideWhenUsed/>
    <w:rsid w:val="000A2E3E"/>
  </w:style>
  <w:style w:type="character" w:customStyle="1" w:styleId="VoetnoottekstChar">
    <w:name w:val="Voetnoottekst Char"/>
    <w:basedOn w:val="Standaardalinea-lettertype"/>
    <w:link w:val="Voetnoottekst"/>
    <w:uiPriority w:val="99"/>
    <w:rsid w:val="000A2E3E"/>
  </w:style>
  <w:style w:type="character" w:styleId="Voetnootmarkering">
    <w:name w:val="footnote reference"/>
    <w:basedOn w:val="Standaardalinea-lettertype"/>
    <w:uiPriority w:val="99"/>
    <w:unhideWhenUsed/>
    <w:rsid w:val="000A2E3E"/>
    <w:rPr>
      <w:vertAlign w:val="superscript"/>
    </w:rPr>
  </w:style>
  <w:style w:type="paragraph" w:styleId="Lijstalinea">
    <w:name w:val="List Paragraph"/>
    <w:basedOn w:val="Standaard"/>
    <w:uiPriority w:val="34"/>
    <w:qFormat/>
    <w:rsid w:val="004D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717">
      <w:bodyDiv w:val="1"/>
      <w:marLeft w:val="0"/>
      <w:marRight w:val="0"/>
      <w:marTop w:val="0"/>
      <w:marBottom w:val="0"/>
      <w:divBdr>
        <w:top w:val="none" w:sz="0" w:space="0" w:color="auto"/>
        <w:left w:val="none" w:sz="0" w:space="0" w:color="auto"/>
        <w:bottom w:val="none" w:sz="0" w:space="0" w:color="auto"/>
        <w:right w:val="none" w:sz="0" w:space="0" w:color="auto"/>
      </w:divBdr>
    </w:div>
    <w:div w:id="240140275">
      <w:bodyDiv w:val="1"/>
      <w:marLeft w:val="0"/>
      <w:marRight w:val="0"/>
      <w:marTop w:val="0"/>
      <w:marBottom w:val="0"/>
      <w:divBdr>
        <w:top w:val="none" w:sz="0" w:space="0" w:color="auto"/>
        <w:left w:val="none" w:sz="0" w:space="0" w:color="auto"/>
        <w:bottom w:val="none" w:sz="0" w:space="0" w:color="auto"/>
        <w:right w:val="none" w:sz="0" w:space="0" w:color="auto"/>
      </w:divBdr>
    </w:div>
    <w:div w:id="363100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g.nl/files/vng/publicaties/2015/isd-handreiking-declaratie-en-factuur-v2.0-201511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andaarden.nl" TargetMode="External"/><Relationship Id="rId12" Type="http://schemas.openxmlformats.org/officeDocument/2006/relationships/hyperlink" Target="mailto:m.vandermeer@kental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o@ggmd.nl" TargetMode="External"/><Relationship Id="rId5" Type="http://schemas.openxmlformats.org/officeDocument/2006/relationships/footnotes" Target="footnotes.xml"/><Relationship Id="rId10" Type="http://schemas.openxmlformats.org/officeDocument/2006/relationships/hyperlink" Target="mailto:clientenadministratie@robertcoppes.nl" TargetMode="External"/><Relationship Id="rId4" Type="http://schemas.openxmlformats.org/officeDocument/2006/relationships/webSettings" Target="webSettings.xml"/><Relationship Id="rId9" Type="http://schemas.openxmlformats.org/officeDocument/2006/relationships/hyperlink" Target="mailto:h.vanderveen@gelderhorst.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ng.nl/files/vng/publicaties/2015/isd-handreiking-declaratie-en-factuur-v2.0-201511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1778</Words>
  <Characters>9779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Manager/>
  <Company>Indra Henneman Projectmanagement en Advies</Company>
  <LinksUpToDate>false</LinksUpToDate>
  <CharactersWithSpaces>11534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Henneman</dc:creator>
  <cp:keywords/>
  <dc:description/>
  <cp:lastModifiedBy>Angela Potjens</cp:lastModifiedBy>
  <cp:revision>6</cp:revision>
  <dcterms:created xsi:type="dcterms:W3CDTF">2016-01-08T14:57:00Z</dcterms:created>
  <dcterms:modified xsi:type="dcterms:W3CDTF">2017-10-12T14:11:00Z</dcterms:modified>
  <cp:category/>
</cp:coreProperties>
</file>