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64" w:rsidRDefault="007F7B37">
      <w:pPr>
        <w:pStyle w:val="OPTitel"/>
      </w:pPr>
      <w:r>
        <w:t>Model Raadsbesluit wijziging Verordening maatschappelijke ondersteuning 2015</w:t>
      </w:r>
    </w:p>
    <w:p w:rsidR="00886464" w:rsidRDefault="007F7B37">
      <w:pPr>
        <w:pStyle w:val="OPAanhef"/>
      </w:pPr>
      <w:r>
        <w:t>De raad van de gemeente [naam gemeente];</w:t>
      </w:r>
    </w:p>
    <w:p w:rsidR="00886464" w:rsidRDefault="007F7B37">
      <w:pPr>
        <w:pStyle w:val="OPAanhef"/>
      </w:pPr>
      <w:r>
        <w:t>gelezen het voorstel van het college van burgemeester en wethouders van [datum en nummer];</w:t>
      </w:r>
    </w:p>
    <w:p w:rsidR="00886464" w:rsidRDefault="007F7B37">
      <w:pPr>
        <w:pStyle w:val="OPAanhef"/>
      </w:pPr>
      <w:r>
        <w:t>gelet op de artikelen 2.1.3, 2.1.4, [eerste, tweede,] derde en zevende lid, [2.1.5, eerste lid,] 2.1.6, [2.1.7, 2.3.6, vierde lid,] en 2.6.6, eerste lid, van de Wet maatschappelijke ondersteuning 2015 [en artikelen 3.8, tweede lid, en 5.4 van het Uitvoeringsbesluit Wmo 2015];</w:t>
      </w:r>
    </w:p>
    <w:p w:rsidR="00886464" w:rsidRDefault="007F7B37">
      <w:pPr>
        <w:pStyle w:val="OPAanhef"/>
      </w:pPr>
      <w:r>
        <w:t>gezien het advies van [naam commissie];</w:t>
      </w:r>
    </w:p>
    <w:p w:rsidR="00886464" w:rsidRDefault="007F7B37">
      <w:pPr>
        <w:pStyle w:val="OPAanhef"/>
      </w:pPr>
      <w:r>
        <w:t>besluit vast te stellen de volgende wijziging van de [citeertitel Wmo-verordening]:</w:t>
      </w:r>
    </w:p>
    <w:p w:rsidR="007F7B37" w:rsidRDefault="007F7B37">
      <w:pPr>
        <w:pStyle w:val="OPArtikelTitel"/>
      </w:pPr>
    </w:p>
    <w:p w:rsidR="00886464" w:rsidRDefault="007F7B37">
      <w:pPr>
        <w:pStyle w:val="OPArtikelTitel"/>
      </w:pPr>
      <w:r>
        <w:t>Artikel I</w:t>
      </w:r>
    </w:p>
    <w:p w:rsidR="00886464" w:rsidRDefault="007F7B37">
      <w:r>
        <w:t>De [citeertitel] wordt gewijzigd als volgt:</w:t>
      </w:r>
    </w:p>
    <w:p w:rsidR="007F7B37" w:rsidRDefault="007F7B37"/>
    <w:p w:rsidR="00886464" w:rsidRDefault="007F7B37">
      <w:r>
        <w:t>A</w:t>
      </w:r>
    </w:p>
    <w:p w:rsidR="007F7B37" w:rsidRDefault="007F7B37"/>
    <w:p w:rsidR="00886464" w:rsidRDefault="007F7B37">
      <w:r>
        <w:t>Artikel 11 komt te luiden:</w:t>
      </w:r>
    </w:p>
    <w:p w:rsidR="007F7B37" w:rsidRDefault="007F7B37">
      <w:pPr>
        <w:rPr>
          <w:b/>
        </w:rPr>
      </w:pPr>
    </w:p>
    <w:p w:rsidR="00886464" w:rsidRPr="007F7B37" w:rsidRDefault="007F7B37">
      <w:r w:rsidRPr="007F7B37">
        <w:t>Artikel 11. Regels voor pgb</w:t>
      </w:r>
    </w:p>
    <w:p w:rsidR="00886464" w:rsidRDefault="007F7B37">
      <w:r>
        <w:t>[1. Het college verstrekt een pgb in overeenstemming met artikel 2.3.6 van de wet.]</w:t>
      </w:r>
    </w:p>
    <w:p w:rsidR="00886464" w:rsidRDefault="007F7B37">
      <w:r>
        <w:t>2. Onverminderd artikel 2.3.6, tweede en vijfde lid, van de wet verstrekt het college geen pgb voor zover de aanvraag betrekking heeft op kosten die de belanghebbende voorafgaand aan de indiening van de aanvraag heeft gemaakt en niet meer is na te gaan of de ingekochte voorziening noodzakelijk was.</w:t>
      </w:r>
    </w:p>
    <w:p w:rsidR="00886464" w:rsidRDefault="007F7B37">
      <w:r>
        <w:t>3. De hoogte van een pgb:</w:t>
      </w:r>
    </w:p>
    <w:p w:rsidR="00886464" w:rsidRDefault="007F7B37">
      <w:pPr>
        <w:pStyle w:val="Lijstalinea"/>
        <w:numPr>
          <w:ilvl w:val="0"/>
          <w:numId w:val="1"/>
        </w:numPr>
      </w:pPr>
      <w:r>
        <w:t>wordt vastgesteld aan de hand van een door de cliënt opgesteld plan over hoe hij het pgb gaat besteden;</w:t>
      </w:r>
    </w:p>
    <w:p w:rsidR="00886464" w:rsidRDefault="007F7B37">
      <w:pPr>
        <w:pStyle w:val="Lijstalinea"/>
        <w:numPr>
          <w:ilvl w:val="0"/>
          <w:numId w:val="1"/>
        </w:numPr>
      </w:pPr>
      <w:r>
        <w:t xml:space="preserve">wordt berekend op basis van een prijs of tarief waarmee redelijkerwijs is verzekerd dat het pgb toereikend is om veilige, doeltreffende en kwalitatief goede diensten, hulpmiddelen, </w:t>
      </w:r>
      <w:r>
        <w:lastRenderedPageBreak/>
        <w:t>woningaanpassingen en andere maatregelen die tot de maatwerkvoorziening behoren, van derden te betrekken, en wordt indien nodig aangevuld met een vergoeding voor onderhoud en verzekering, en</w:t>
      </w:r>
    </w:p>
    <w:p w:rsidR="00886464" w:rsidRDefault="007F7B37">
      <w:pPr>
        <w:pStyle w:val="Lijstalinea"/>
        <w:numPr>
          <w:ilvl w:val="0"/>
          <w:numId w:val="1"/>
        </w:numPr>
      </w:pPr>
      <w:r>
        <w:t>bedraagt niet meer dan de kostprijs van de in de betreffende situatie goedkoopst adequate in de gemeente beschikbare maatwerkvoorziening in natura.</w:t>
      </w:r>
    </w:p>
    <w:p w:rsidR="00886464" w:rsidRDefault="007F7B37">
      <w:r>
        <w:t>4. De hoogte van een pgb wordt vastgesteld voor:</w:t>
      </w:r>
    </w:p>
    <w:p w:rsidR="00886464" w:rsidRDefault="007F7B37">
      <w:pPr>
        <w:pStyle w:val="Lijstalinea"/>
        <w:numPr>
          <w:ilvl w:val="0"/>
          <w:numId w:val="2"/>
        </w:numPr>
      </w:pPr>
      <w:r>
        <w:t>een zaak: op basis van de kostprijs van de zaak die de cliënt zou hebben ontvangen als de zaak in natura zou zijn verstrekt en rekening houdende met een reële termijn voor de technische afschrijving en de onderhouds- en verzekeringskosten;</w:t>
      </w:r>
    </w:p>
    <w:p w:rsidR="00886464" w:rsidRDefault="007F7B37">
      <w:pPr>
        <w:numPr>
          <w:ilvl w:val="0"/>
          <w:numId w:val="2"/>
        </w:numPr>
      </w:pPr>
      <w:r>
        <w:t>huishoudelijke hulp:</w:t>
      </w:r>
      <w:bookmarkStart w:id="0" w:name="_GoBack"/>
      <w:bookmarkEnd w:id="0"/>
    </w:p>
    <w:p w:rsidR="00886464" w:rsidRDefault="007F7B37">
      <w:pPr>
        <w:pStyle w:val="Lijstalinea"/>
        <w:numPr>
          <w:ilvl w:val="1"/>
          <w:numId w:val="2"/>
        </w:numPr>
      </w:pPr>
      <w:r>
        <w:t>niveau 1 door een daartoe opgeleid persoon in dienst bij een zorgaanbieder: op basis van het [laagste] toepasselijke tarief per uur of resultaat dat hiervoor zou worden gehanteerd door een door de gemeente gecontracteerde aanbieder;</w:t>
      </w:r>
    </w:p>
    <w:p w:rsidR="00886464" w:rsidRDefault="007F7B37">
      <w:pPr>
        <w:pStyle w:val="Lijstalinea"/>
        <w:numPr>
          <w:ilvl w:val="1"/>
          <w:numId w:val="2"/>
        </w:numPr>
      </w:pPr>
      <w:r>
        <w:t>niveau 2 en 3 door een daartoe opgeleid persoon in dienst bij een zorgaanbieder of waarvoor bijzondere deskundigheid is vereist: op basis van het [laagste] toepasselijke tarief per uur of resultaat dat hiervoor zou worden gehanteerd door een door de gemeente gecontracteerde aanbieder;</w:t>
      </w:r>
    </w:p>
    <w:p w:rsidR="00886464" w:rsidRDefault="007F7B37">
      <w:pPr>
        <w:pStyle w:val="Lijstalinea"/>
        <w:numPr>
          <w:ilvl w:val="1"/>
          <w:numId w:val="2"/>
        </w:numPr>
      </w:pPr>
      <w:r>
        <w:t>niveau 1, 2 en 3 door een persoon uit het sociale netwerk: op basis van [[…] % van het [laagste] toepasselijke tarief per uur of resultaat dat hiervoor zou worden gehanteerd door een door de gemeente gecontracteerde aanbieder OF […] % van he</w:t>
      </w:r>
      <w:r w:rsidR="00114DAD">
        <w:t>t in tweede lid van artikel 5.2</w:t>
      </w:r>
      <w:r>
        <w:t>2 van de Regeling langdurige zorg genoemde gangbare tarief voor een persoon uit het sociale netwerk];</w:t>
      </w:r>
    </w:p>
    <w:p w:rsidR="00886464" w:rsidRDefault="007F7B37">
      <w:pPr>
        <w:numPr>
          <w:ilvl w:val="0"/>
          <w:numId w:val="2"/>
        </w:numPr>
      </w:pPr>
      <w:r>
        <w:t>individuele begeleiding:</w:t>
      </w:r>
    </w:p>
    <w:p w:rsidR="00886464" w:rsidRDefault="007F7B37">
      <w:pPr>
        <w:pStyle w:val="Lijstalinea"/>
        <w:numPr>
          <w:ilvl w:val="1"/>
          <w:numId w:val="2"/>
        </w:numPr>
      </w:pPr>
      <w:r>
        <w:t>basis individuele begeleiding uitgevoerd door een daartoe opgeleid persoon in dienst bij een zorgaanbieder: op basis van het [laagste] toepasselijke tarief per uur of resultaat dat hiervoor zou worden gehanteerd door een door de gemeente gecontracteerde aanbieder;</w:t>
      </w:r>
    </w:p>
    <w:p w:rsidR="00886464" w:rsidRDefault="007F7B37">
      <w:pPr>
        <w:pStyle w:val="Lijstalinea"/>
        <w:numPr>
          <w:ilvl w:val="1"/>
          <w:numId w:val="2"/>
        </w:numPr>
      </w:pPr>
      <w:r>
        <w:t>specialistische individuele begeleiding uitgevoerd door een daartoe opgeleid persoon in het bezit van bijzondere deskundigheid in dienst bij een zorgaanbieder: op basis van het [laagste] toepasselijke tarief per uur of resultaat dat hiervoor zou worden gehanteerd door een door de gemeente gecontracteerde aanbieder;</w:t>
      </w:r>
    </w:p>
    <w:p w:rsidR="00886464" w:rsidRDefault="007F7B37">
      <w:pPr>
        <w:pStyle w:val="Lijstalinea"/>
        <w:numPr>
          <w:ilvl w:val="1"/>
          <w:numId w:val="2"/>
        </w:numPr>
      </w:pPr>
      <w:r>
        <w:t xml:space="preserve">individuele begeleiding uitgevoerd door een persoon uit het sociale netwerk: op basis van [[…] % van het [laagste] toepasselijke tarief per uur of resultaat dat hiervoor zou worden gehanteerd door een door de gemeente gecontracteerde aanbieder OF […] </w:t>
      </w:r>
      <w:r>
        <w:lastRenderedPageBreak/>
        <w:t>% van he</w:t>
      </w:r>
      <w:r w:rsidR="00114DAD">
        <w:t>t in tweede lid van artikel 5.2</w:t>
      </w:r>
      <w:r>
        <w:t>2 van de Regeling langdurige zorg genoemde gangbare tarief voor een persoon uit het sociale netwerk];</w:t>
      </w:r>
    </w:p>
    <w:p w:rsidR="00886464" w:rsidRDefault="007F7B37">
      <w:pPr>
        <w:numPr>
          <w:ilvl w:val="0"/>
          <w:numId w:val="2"/>
        </w:numPr>
      </w:pPr>
      <w:r>
        <w:t>groepsbegeleiding en dagbesteding:</w:t>
      </w:r>
    </w:p>
    <w:p w:rsidR="00886464" w:rsidRDefault="007F7B37">
      <w:pPr>
        <w:pStyle w:val="Lijstalinea"/>
        <w:numPr>
          <w:ilvl w:val="1"/>
          <w:numId w:val="2"/>
        </w:numPr>
      </w:pPr>
      <w:r>
        <w:t>dagbesteding met laag intensieve ondersteuning uitgevoerd door vrijwilligers met ondersteuning van een beroepskracht in dienst van een zorgaanbieder: op basis van [het laagste toepasselijke tarief voor dergelijke begeleiding uitgevoerd door een daartoe opgeleid persoon dat zou worden gehanteerd door een door de gemeente gecontracteerde aanbieder OF het toepasselijke tarief per uur of resultaat dat hiervoor zou worden gehanteerd door een door de gemeente gecontracteerde aanbieder];</w:t>
      </w:r>
    </w:p>
    <w:p w:rsidR="00886464" w:rsidRDefault="007F7B37">
      <w:pPr>
        <w:pStyle w:val="Lijstalinea"/>
        <w:numPr>
          <w:ilvl w:val="1"/>
          <w:numId w:val="2"/>
        </w:numPr>
      </w:pPr>
      <w:r>
        <w:t>gespecialiseerde dagbesteding met hoog intensieve ondersteuning uitgevoerd door een daartoe opgeleide persoon in dienst van een zorgaanbieder: op basis van [het laagste toepasselijke tarief voor dergelijke begeleiding uitgevoerd door een daartoe opgeleid beroepskracht dat zou worden gehanteerd door een door de gemeente gecontracteerde aanbieder OF het toepasselijke tarief per uur of resultaat dat hiervoor zou worden gehanteerd door een door de gemeente gecontracteerde aanbieder];</w:t>
      </w:r>
    </w:p>
    <w:p w:rsidR="00886464" w:rsidRDefault="007F7B37">
      <w:pPr>
        <w:numPr>
          <w:ilvl w:val="0"/>
          <w:numId w:val="2"/>
        </w:numPr>
      </w:pPr>
      <w:r>
        <w:t>kortdurend verblijf en respijtzorg:</w:t>
      </w:r>
    </w:p>
    <w:p w:rsidR="00886464" w:rsidRDefault="007F7B37">
      <w:pPr>
        <w:pStyle w:val="Lijstalinea"/>
        <w:numPr>
          <w:ilvl w:val="1"/>
          <w:numId w:val="2"/>
        </w:numPr>
      </w:pPr>
      <w:r>
        <w:t>met laag intensieve ondersteuning uitgevoerd door vrijwilligers met ondersteuning van een beroepskracht in dienst van een zorgaanbieder: op basis van [het laagste toepasselijke tarief voor dergelijke begeleiding uitgevoerd door een daartoe opgeleid persoon dat zou worden gehanteerd door een door de gemeente gecontracteerde aanbieder OF het toepasselijke tarief per uur of resultaat dat hiervoor zou worden gehanteerd door een door de gemeente gecontracteerde aanbieder];</w:t>
      </w:r>
    </w:p>
    <w:p w:rsidR="00886464" w:rsidRDefault="007F7B37">
      <w:pPr>
        <w:pStyle w:val="Lijstalinea"/>
        <w:numPr>
          <w:ilvl w:val="1"/>
          <w:numId w:val="2"/>
        </w:numPr>
      </w:pPr>
      <w:r>
        <w:t>met hoog intensieve ondersteuning uitgevoerd door een daartoe opgeleid persoon in dienst van een zorgaanbieder: op basis van [het laagste toepasselijke tarief dat voor dergelijke begeleiding uitgevoerd door een daartoe opgeleide beroepskracht zou worden gehanteerd door een door de gemeente gecontracteerde aanbieder OF het toepasselijke tarief per uur of resultaat dat hiervoor zou worden gehanteerd door een door de gemeente gecontracteerde aanbieder];</w:t>
      </w:r>
    </w:p>
    <w:p w:rsidR="00886464" w:rsidRDefault="007F7B37">
      <w:pPr>
        <w:pStyle w:val="Lijstalinea"/>
        <w:numPr>
          <w:ilvl w:val="1"/>
          <w:numId w:val="2"/>
        </w:numPr>
      </w:pPr>
      <w:r>
        <w:t>uitgevoerd door een persoon uit het sociale netwerk: op basis van [[…] % van het [laagste] toepasselijke tarief per uur of resultaat dat hiervoor zou worden gehanteerd door een door de gemeente gecontracteerde aanbieder OF […] % van he</w:t>
      </w:r>
      <w:r w:rsidR="00114DAD">
        <w:t>t in tweede lid van artikel 5.2</w:t>
      </w:r>
      <w:r>
        <w:t>2 van de Regeling langdurige zorg genoemde gangbare tarief voor een persoon uit het sociale netwerk];</w:t>
      </w:r>
    </w:p>
    <w:p w:rsidR="00886464" w:rsidRDefault="007F7B37">
      <w:pPr>
        <w:pStyle w:val="Lijstalinea"/>
        <w:numPr>
          <w:ilvl w:val="0"/>
          <w:numId w:val="2"/>
        </w:numPr>
      </w:pPr>
      <w:r>
        <w:lastRenderedPageBreak/>
        <w:t>vervoer van en naar de dagbesteding: op basis van [het tarief dat hiervoor wordt gehanteerd bij de uitvoering van de Wet langdurige zorg OF het in de regio gangbare toepasselijke tarief, uitgaande van de dichtst bij de woning van de cliënt gelegen geschikte dagbestedingslocatie] en rekening houdende met eventuele beperkingen die het reizen met bepaalde vormen van het openbaar vervoer door de cliënt belemmeren;</w:t>
      </w:r>
    </w:p>
    <w:p w:rsidR="00886464" w:rsidRDefault="007F7B37">
      <w:pPr>
        <w:pStyle w:val="Lijstalinea"/>
        <w:numPr>
          <w:ilvl w:val="0"/>
          <w:numId w:val="2"/>
        </w:numPr>
      </w:pPr>
      <w:r>
        <w:t>taxi- en rolstoeltaxivervoer: op basis van het in de regio gangbare toepasselijke tarief, uitgaande van maximaal 1500 kilometers per jaar;</w:t>
      </w:r>
    </w:p>
    <w:p w:rsidR="00886464" w:rsidRDefault="007F7B37">
      <w:pPr>
        <w:pStyle w:val="Lijstalinea"/>
        <w:numPr>
          <w:ilvl w:val="0"/>
          <w:numId w:val="2"/>
        </w:numPr>
      </w:pPr>
      <w:r>
        <w:t>een autoaanpassing: op basis van de laagste kostprijs van de noodzakelijke aanpassingen die hiervoor zou worden gehanteerd door een door de gemeente gecontracteerde leverancier;</w:t>
      </w:r>
    </w:p>
    <w:p w:rsidR="00886464" w:rsidRDefault="007F7B37">
      <w:pPr>
        <w:pStyle w:val="Lijstalinea"/>
        <w:numPr>
          <w:ilvl w:val="0"/>
          <w:numId w:val="2"/>
        </w:numPr>
      </w:pPr>
      <w:r>
        <w:t>verhuishulp: op basis van de laagste kostprijs van de verhuizing die hiervoor zou worden gehanteerd door een door de gemeente contracteerde verhuizer en rekening houdende met de keuze van de cliënt om al dan niet gebruik te maken van een erkende verhuizer;</w:t>
      </w:r>
    </w:p>
    <w:p w:rsidR="00886464" w:rsidRDefault="007F7B37">
      <w:pPr>
        <w:pStyle w:val="Lijstalinea"/>
        <w:numPr>
          <w:ilvl w:val="0"/>
          <w:numId w:val="2"/>
        </w:numPr>
      </w:pPr>
      <w:r>
        <w:t>aanschaf en onderhoud van een sportrolstoel: op basis van de laagste prijs en het laagste tarief die hiervoor zouden worden gehanteerd door een door de gemeente gecontracteerde leverancier;</w:t>
      </w:r>
    </w:p>
    <w:p w:rsidR="00886464" w:rsidRDefault="007F7B37">
      <w:pPr>
        <w:pStyle w:val="Lijstalinea"/>
        <w:numPr>
          <w:ilvl w:val="0"/>
          <w:numId w:val="2"/>
        </w:numPr>
      </w:pPr>
      <w:r>
        <w:t>het bezoekbaar maken van een woning: op basis van de laagste kostprijs van de noodzakelijke aanpassingen die hiervoor zou worden gehanteerd door een door de gemeente gecontracteerde aannemer en rekening houdende met de keuze van de cliënt om al dan niet gebruik te maken van een erkende aannemer.</w:t>
      </w:r>
    </w:p>
    <w:p w:rsidR="00886464" w:rsidRDefault="007F7B37">
      <w:r>
        <w:t>5. Een cliënt aan wie een pgb wordt verstrekt, kan diensten, hulpmiddelen, woningaanpassingen en andere maatregelen onder de volgende voorwaarden betrekken van een persoon die behoort tot het sociale netwerk als:</w:t>
      </w:r>
    </w:p>
    <w:p w:rsidR="00886464" w:rsidRDefault="007F7B37">
      <w:pPr>
        <w:pStyle w:val="Lijstalinea"/>
        <w:numPr>
          <w:ilvl w:val="0"/>
          <w:numId w:val="3"/>
        </w:numPr>
      </w:pPr>
      <w:r>
        <w:t>deze persoon hiervoor een tarief hanteert [dat […] % bedraagt van het [laagste] toepasselijke tarief per uur of resultaat dat hiervoor zou worden gehanteerd door een door de gemeente gecontracteerde aanbieder OF dat niet hoger is dan het op grond van het derde en vierde lid gehanteerde tarief OF op basis van […] % van he</w:t>
      </w:r>
      <w:r w:rsidR="00114DAD">
        <w:t>t in tweede lid van artikel 5.2</w:t>
      </w:r>
      <w:r>
        <w:t>2 van de Regeling langdurige zorg genoemde gangbare tarief voor een persoon uit het sociale netwerk], en</w:t>
      </w:r>
    </w:p>
    <w:p w:rsidR="00886464" w:rsidRDefault="007F7B37">
      <w:pPr>
        <w:pStyle w:val="Lijstalinea"/>
        <w:numPr>
          <w:ilvl w:val="0"/>
          <w:numId w:val="3"/>
        </w:numPr>
      </w:pPr>
      <w:r>
        <w:t>tussenpersonen of belangenbehartigers niet uit het pgb worden betaald.</w:t>
      </w:r>
    </w:p>
    <w:p w:rsidR="00886464" w:rsidRDefault="007F7B37">
      <w:r>
        <w:t xml:space="preserve"> </w:t>
      </w:r>
    </w:p>
    <w:p w:rsidR="00886464" w:rsidRDefault="007F7B37">
      <w:r>
        <w:t>B</w:t>
      </w:r>
    </w:p>
    <w:p w:rsidR="00886464" w:rsidRDefault="007F7B37">
      <w:r>
        <w:t xml:space="preserve"> </w:t>
      </w:r>
    </w:p>
    <w:p w:rsidR="00886464" w:rsidRDefault="007F7B37">
      <w:r>
        <w:t>In artikel 12, eerste lid, onder a, wordt ‘I’ vervangen door: ‘1’.</w:t>
      </w:r>
    </w:p>
    <w:p w:rsidR="00886464" w:rsidRDefault="007F7B37">
      <w:r>
        <w:t xml:space="preserve"> </w:t>
      </w:r>
    </w:p>
    <w:p w:rsidR="00886464" w:rsidRDefault="007F7B37">
      <w:r>
        <w:lastRenderedPageBreak/>
        <w:t>C</w:t>
      </w:r>
    </w:p>
    <w:p w:rsidR="00886464" w:rsidRDefault="007F7B37">
      <w:r>
        <w:t xml:space="preserve"> </w:t>
      </w:r>
    </w:p>
    <w:p w:rsidR="00886464" w:rsidRDefault="007F7B37">
      <w:r>
        <w:t>Artikel 15, derde lid, komt te luiden:</w:t>
      </w:r>
    </w:p>
    <w:p w:rsidR="00886464" w:rsidRDefault="007F7B37">
      <w:r>
        <w:t xml:space="preserve"> </w:t>
      </w:r>
    </w:p>
    <w:p w:rsidR="00886464" w:rsidRDefault="007F7B37">
      <w:r>
        <w:rPr>
          <w:i/>
        </w:rPr>
        <w:t>3. Onverminderd artikel 2.3.10 van de wet kan het college een beslissing als bedoeld in artikel 2.3.5 of 2.3.6 van de wet herzien dan wel intrekken als het college vaststelt dat:</w:t>
      </w:r>
    </w:p>
    <w:p w:rsidR="00886464" w:rsidRDefault="007F7B37">
      <w:pPr>
        <w:pStyle w:val="Lijstalinea"/>
        <w:numPr>
          <w:ilvl w:val="0"/>
          <w:numId w:val="4"/>
        </w:numPr>
      </w:pPr>
      <w:r>
        <w:rPr>
          <w:i/>
        </w:rPr>
        <w:t>de cliënt onjuiste of onvolledige gegevens heeft verstrekt en de verstrekking van juiste of volledige gegevens tot een andere beslissing zou hebben geleid;</w:t>
      </w:r>
    </w:p>
    <w:p w:rsidR="00886464" w:rsidRDefault="007F7B37">
      <w:pPr>
        <w:pStyle w:val="Lijstalinea"/>
        <w:numPr>
          <w:ilvl w:val="0"/>
          <w:numId w:val="4"/>
        </w:numPr>
      </w:pPr>
      <w:r>
        <w:rPr>
          <w:i/>
        </w:rPr>
        <w:t>de cliënt niet langer op de maatwerkvoorziening of het pgb is aangewezen;</w:t>
      </w:r>
    </w:p>
    <w:p w:rsidR="00886464" w:rsidRDefault="007F7B37">
      <w:pPr>
        <w:pStyle w:val="Lijstalinea"/>
        <w:numPr>
          <w:ilvl w:val="0"/>
          <w:numId w:val="4"/>
        </w:numPr>
      </w:pPr>
      <w:r>
        <w:rPr>
          <w:i/>
        </w:rPr>
        <w:t>de maatwerkvoorziening of het pgb niet meer toereikend is te achten;</w:t>
      </w:r>
    </w:p>
    <w:p w:rsidR="00886464" w:rsidRDefault="007F7B37">
      <w:pPr>
        <w:pStyle w:val="Lijstalinea"/>
        <w:numPr>
          <w:ilvl w:val="0"/>
          <w:numId w:val="4"/>
        </w:numPr>
      </w:pPr>
      <w:r>
        <w:rPr>
          <w:i/>
        </w:rPr>
        <w:t>de cliënt langer dan […] weken verblijft in een instelling als bedoeld in de Wet langdurige zorg of de Zorgverzekeringswet;</w:t>
      </w:r>
    </w:p>
    <w:p w:rsidR="00886464" w:rsidRDefault="007F7B37">
      <w:pPr>
        <w:pStyle w:val="Lijstalinea"/>
        <w:numPr>
          <w:ilvl w:val="0"/>
          <w:numId w:val="4"/>
        </w:numPr>
      </w:pPr>
      <w:r>
        <w:rPr>
          <w:i/>
        </w:rPr>
        <w:t>de cliënt niet voldoet aan de aan de maatwerkvoorziening of het pgb verbonden voorwaarden, of</w:t>
      </w:r>
    </w:p>
    <w:p w:rsidR="00886464" w:rsidRDefault="007F7B37">
      <w:pPr>
        <w:pStyle w:val="Lijstalinea"/>
        <w:numPr>
          <w:ilvl w:val="0"/>
          <w:numId w:val="4"/>
        </w:numPr>
      </w:pPr>
      <w:r>
        <w:rPr>
          <w:i/>
        </w:rPr>
        <w:t>de cliënt de maatwerkvoorziening of het pgb niet of voor een ander doel gebruikt.</w:t>
      </w:r>
      <w:r>
        <w:t>]</w:t>
      </w:r>
    </w:p>
    <w:p w:rsidR="00886464" w:rsidRDefault="007F7B37">
      <w:r>
        <w:t xml:space="preserve"> </w:t>
      </w:r>
    </w:p>
    <w:p w:rsidR="00886464" w:rsidRDefault="007F7B37">
      <w:r>
        <w:t>D</w:t>
      </w:r>
    </w:p>
    <w:p w:rsidR="00886464" w:rsidRDefault="007F7B37">
      <w:r>
        <w:t xml:space="preserve"> </w:t>
      </w:r>
    </w:p>
    <w:p w:rsidR="00886464" w:rsidRDefault="007F7B37">
      <w:r>
        <w:t>Artikel 15a komt te luiden:</w:t>
      </w:r>
    </w:p>
    <w:p w:rsidR="00886464" w:rsidRDefault="007F7B37">
      <w:r>
        <w:t xml:space="preserve"> </w:t>
      </w:r>
    </w:p>
    <w:p w:rsidR="00886464" w:rsidRDefault="007F7B37">
      <w:r>
        <w:t>[</w:t>
      </w:r>
      <w:r>
        <w:rPr>
          <w:i/>
        </w:rPr>
        <w:t>Artikel 15a. Opschorting betaling uit het pgb</w:t>
      </w:r>
    </w:p>
    <w:p w:rsidR="00886464" w:rsidRDefault="007F7B37">
      <w:r>
        <w:t xml:space="preserve"> </w:t>
      </w:r>
      <w:r>
        <w:rPr>
          <w:i/>
        </w:rPr>
        <w:t>1. Het college kan de Sociale verzekeringsbank gemotiveerd verzoeken te beslissen tot een gehele of gedeeltelijke opschorting van betalingen uit het pgb voor ten hoogste dertien weken als er ten aanzien van een cliënt een ernstig vermoeden is gerezen dat sprake is van een omstandigheid als bedoeld in artikel 2.3.10, eerste lid, onder a, d of e, van de wet.</w:t>
      </w:r>
    </w:p>
    <w:p w:rsidR="00886464" w:rsidRDefault="007F7B37">
      <w:r>
        <w:t xml:space="preserve"> </w:t>
      </w:r>
      <w:r>
        <w:rPr>
          <w:i/>
        </w:rPr>
        <w:t>2. Het college kan de Sociale verzekeringsbank gemotiveerd verzoeken te beslissen tot een gehele of gedeeltelijke opschorting van betalingen uit het pgb voor de duur van de opname als sprake is van een omstandigheid als bedoeld in artikel 15, derde lid, onder d.</w:t>
      </w:r>
    </w:p>
    <w:p w:rsidR="00886464" w:rsidRDefault="007F7B37">
      <w:r>
        <w:t xml:space="preserve"> </w:t>
      </w:r>
      <w:r>
        <w:rPr>
          <w:i/>
        </w:rPr>
        <w:t>3. Het college stelt de pgb-houder schriftelijk op de hoogte van het verzoek op grond van het eerste en tweede lid.</w:t>
      </w:r>
      <w:r>
        <w:t>]</w:t>
      </w:r>
    </w:p>
    <w:p w:rsidR="00886464" w:rsidRDefault="007F7B37">
      <w:pPr>
        <w:pStyle w:val="OPArtikelTitel"/>
      </w:pPr>
      <w:r>
        <w:t>Artikel II</w:t>
      </w:r>
    </w:p>
    <w:p w:rsidR="00886464" w:rsidRDefault="007F7B37">
      <w:r>
        <w:t>[[overgangsrecht]</w:t>
      </w:r>
      <w:r>
        <w:rPr>
          <w:i/>
        </w:rPr>
        <w:t>(noodzaak en formulering hangen af van enerzijds de bestaande tekst van de verordening en anderzijds de daarin met dit besluit doorgevoerde wijzigingen)</w:t>
      </w:r>
      <w:r>
        <w:t>]</w:t>
      </w:r>
    </w:p>
    <w:p w:rsidR="00886464" w:rsidRDefault="007F7B37">
      <w:pPr>
        <w:pStyle w:val="OPArtikelTitel"/>
      </w:pPr>
      <w:r>
        <w:t>Artikel III</w:t>
      </w:r>
    </w:p>
    <w:p w:rsidR="00886464" w:rsidRDefault="007F7B37">
      <w:r>
        <w:lastRenderedPageBreak/>
        <w:t>Dit besluit treedt in werking op [datum].</w:t>
      </w:r>
    </w:p>
    <w:p w:rsidR="00886464" w:rsidRDefault="007F7B37">
      <w:pPr>
        <w:pStyle w:val="OPOndertekening"/>
      </w:pPr>
      <w:r>
        <w:t>Aldus vastgesteld in de openbare raadsvergadering van [datum].</w:t>
      </w:r>
    </w:p>
    <w:p w:rsidR="00886464" w:rsidRDefault="007F7B37">
      <w:pPr>
        <w:pStyle w:val="OPOndertekening"/>
      </w:pPr>
      <w:r>
        <w:t xml:space="preserve"> </w:t>
      </w:r>
    </w:p>
    <w:p w:rsidR="00886464" w:rsidRDefault="007F7B37">
      <w:pPr>
        <w:pStyle w:val="OPOndertekening"/>
      </w:pPr>
      <w:r>
        <w:t>De voorzitter,</w:t>
      </w:r>
    </w:p>
    <w:p w:rsidR="00886464" w:rsidRDefault="007F7B37">
      <w:pPr>
        <w:pStyle w:val="OPOndertekening"/>
      </w:pPr>
      <w:r>
        <w:t>De griffier,</w:t>
      </w:r>
    </w:p>
    <w:p w:rsidR="00886464" w:rsidRDefault="00886464"/>
    <w:sectPr w:rsidR="0088646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7B" w:rsidRDefault="00E3767B">
      <w:r>
        <w:separator/>
      </w:r>
    </w:p>
  </w:endnote>
  <w:endnote w:type="continuationSeparator" w:id="0">
    <w:p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7B" w:rsidRDefault="00E3767B">
      <w:r>
        <w:separator/>
      </w:r>
    </w:p>
  </w:footnote>
  <w:footnote w:type="continuationSeparator" w:id="0">
    <w:p w:rsidR="00E3767B" w:rsidRDefault="00E37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B37" w:rsidRPr="008A6BD1" w:rsidRDefault="007F7B37" w:rsidP="007F7B37">
    <w:pPr>
      <w:rPr>
        <w:rFonts w:asciiTheme="minorHAnsi" w:hAnsiTheme="minorHAnsi"/>
        <w:sz w:val="22"/>
        <w:szCs w:val="22"/>
      </w:rPr>
    </w:pPr>
  </w:p>
  <w:tbl>
    <w:tblPr>
      <w:tblStyle w:val="Tabelraster"/>
      <w:tblW w:w="0" w:type="auto"/>
      <w:tblLook w:val="04A0" w:firstRow="1" w:lastRow="0" w:firstColumn="1" w:lastColumn="0" w:noHBand="0" w:noVBand="1"/>
    </w:tblPr>
    <w:tblGrid>
      <w:gridCol w:w="9016"/>
    </w:tblGrid>
    <w:tr w:rsidR="007F7B37" w:rsidTr="008E1BD0">
      <w:tc>
        <w:tcPr>
          <w:tcW w:w="9062" w:type="dxa"/>
        </w:tcPr>
        <w:p w:rsidR="007F7B37" w:rsidRPr="008A6BD1" w:rsidRDefault="007F7B37" w:rsidP="007F7B37">
          <w:pPr>
            <w:rPr>
              <w:rFonts w:asciiTheme="minorHAnsi" w:hAnsiTheme="minorHAnsi"/>
              <w:b/>
              <w:sz w:val="22"/>
              <w:szCs w:val="22"/>
            </w:rPr>
          </w:pPr>
          <w:r w:rsidRPr="008A6BD1">
            <w:rPr>
              <w:rFonts w:asciiTheme="minorHAnsi" w:hAnsiTheme="minorHAnsi"/>
              <w:b/>
              <w:sz w:val="22"/>
              <w:szCs w:val="22"/>
            </w:rPr>
            <w:t>Leeswijzer modelbepalingen</w:t>
          </w:r>
        </w:p>
        <w:p w:rsidR="007F7B37" w:rsidRPr="008A6BD1" w:rsidRDefault="007F7B37" w:rsidP="007F7B37">
          <w:pPr>
            <w:rPr>
              <w:rFonts w:asciiTheme="minorHAnsi" w:hAnsiTheme="minorHAnsi"/>
              <w:sz w:val="22"/>
              <w:szCs w:val="22"/>
            </w:rPr>
          </w:pPr>
        </w:p>
        <w:p w:rsidR="007F7B37" w:rsidRDefault="007F7B37" w:rsidP="007F7B37">
          <w:pPr>
            <w:pStyle w:val="Geenafstand"/>
            <w:rPr>
              <w:rFonts w:asciiTheme="minorHAnsi" w:hAnsiTheme="minorHAnsi"/>
              <w:szCs w:val="22"/>
            </w:rPr>
          </w:pPr>
          <w:r w:rsidRPr="008A6BD1">
            <w:rPr>
              <w:rFonts w:asciiTheme="minorHAnsi" w:hAnsiTheme="minorHAnsi"/>
              <w:szCs w:val="22"/>
            </w:rPr>
            <w:t>- [</w:t>
          </w:r>
          <w:r w:rsidRPr="008A6BD1">
            <w:rPr>
              <w:rFonts w:asciiTheme="minorHAnsi" w:hAnsiTheme="minorHAnsi"/>
              <w:b/>
              <w:szCs w:val="22"/>
            </w:rPr>
            <w:t>…</w:t>
          </w:r>
          <w:r w:rsidRPr="008A6BD1">
            <w:rPr>
              <w:rFonts w:asciiTheme="minorHAnsi" w:hAnsiTheme="minorHAnsi"/>
              <w:szCs w:val="22"/>
            </w:rPr>
            <w:t>] of (bijvoorbeeld) [</w:t>
          </w:r>
          <w:r w:rsidRPr="008A6BD1">
            <w:rPr>
              <w:rFonts w:asciiTheme="minorHAnsi" w:hAnsiTheme="minorHAnsi"/>
              <w:b/>
              <w:bCs/>
              <w:szCs w:val="22"/>
            </w:rPr>
            <w:t>iets</w:t>
          </w:r>
          <w:r w:rsidRPr="008A6BD1">
            <w:rPr>
              <w:rFonts w:asciiTheme="minorHAnsi" w:hAnsiTheme="minorHAnsi"/>
              <w:szCs w:val="22"/>
            </w:rPr>
            <w:t>] = door gemeente in te vullen</w:t>
          </w:r>
          <w:r>
            <w:rPr>
              <w:rFonts w:asciiTheme="minorHAnsi" w:hAnsiTheme="minorHAnsi"/>
              <w:szCs w:val="22"/>
            </w:rPr>
            <w:t>, zie bijvoorbeeld artikel III</w:t>
          </w:r>
          <w:r w:rsidRPr="008A6BD1">
            <w:rPr>
              <w:rFonts w:asciiTheme="minorHAnsi" w:hAnsiTheme="minorHAnsi"/>
              <w:szCs w:val="22"/>
            </w:rPr>
            <w:t>.</w:t>
          </w:r>
          <w:r w:rsidRPr="008A6BD1">
            <w:rPr>
              <w:rFonts w:asciiTheme="minorHAnsi" w:hAnsiTheme="minorHAnsi"/>
              <w:szCs w:val="22"/>
            </w:rPr>
            <w:br/>
            <w:t>- [</w:t>
          </w:r>
          <w:r w:rsidRPr="008A6BD1">
            <w:rPr>
              <w:rFonts w:asciiTheme="minorHAnsi" w:hAnsiTheme="minorHAnsi"/>
              <w:i/>
              <w:szCs w:val="22"/>
            </w:rPr>
            <w:t>iets</w:t>
          </w:r>
          <w:r w:rsidRPr="008A6BD1">
            <w:rPr>
              <w:rFonts w:asciiTheme="minorHAnsi" w:hAnsiTheme="minorHAnsi"/>
              <w:szCs w:val="22"/>
            </w:rPr>
            <w:t>] = facultatief</w:t>
          </w:r>
          <w:r>
            <w:rPr>
              <w:rFonts w:asciiTheme="minorHAnsi" w:hAnsiTheme="minorHAnsi"/>
              <w:szCs w:val="22"/>
            </w:rPr>
            <w:t xml:space="preserve">, zie bijvoorbeeld artikel I bij artikel 15, derde lid, </w:t>
          </w:r>
          <w:r>
            <w:rPr>
              <w:rFonts w:asciiTheme="minorHAnsi" w:hAnsiTheme="minorHAnsi"/>
            </w:rPr>
            <w:t>‘nieuwe tekst’</w:t>
          </w:r>
          <w:r w:rsidRPr="008A6BD1">
            <w:rPr>
              <w:rFonts w:asciiTheme="minorHAnsi" w:hAnsiTheme="minorHAnsi"/>
              <w:szCs w:val="22"/>
            </w:rPr>
            <w:t>.</w:t>
          </w:r>
          <w:r w:rsidRPr="008A6BD1">
            <w:rPr>
              <w:rFonts w:asciiTheme="minorHAnsi" w:hAnsiTheme="minorHAnsi"/>
              <w:szCs w:val="22"/>
            </w:rPr>
            <w:br/>
            <w:t xml:space="preserve">- [iets </w:t>
          </w:r>
          <w:r w:rsidRPr="008A6BD1">
            <w:rPr>
              <w:rFonts w:asciiTheme="minorHAnsi" w:hAnsiTheme="minorHAnsi"/>
              <w:b/>
              <w:szCs w:val="22"/>
            </w:rPr>
            <w:t>EN/OF</w:t>
          </w:r>
          <w:r w:rsidRPr="008A6BD1">
            <w:rPr>
              <w:rFonts w:asciiTheme="minorHAnsi" w:hAnsiTheme="minorHAnsi"/>
              <w:szCs w:val="22"/>
            </w:rPr>
            <w:t xml:space="preserve"> iets] = door gemeente te kiezen</w:t>
          </w:r>
          <w:r>
            <w:rPr>
              <w:rFonts w:asciiTheme="minorHAnsi" w:hAnsiTheme="minorHAnsi"/>
              <w:szCs w:val="22"/>
            </w:rPr>
            <w:t>, zie bijvoorbeeld artikel I bij artikel 11, vierde lid, onderdeel b, onder 3</w:t>
          </w:r>
          <w:r w:rsidRPr="008A6BD1">
            <w:rPr>
              <w:rFonts w:asciiTheme="minorHAnsi" w:hAnsiTheme="minorHAnsi"/>
            </w:rPr>
            <w:t>°</w:t>
          </w:r>
          <w:r>
            <w:rPr>
              <w:rFonts w:asciiTheme="minorHAnsi" w:hAnsiTheme="minorHAnsi"/>
            </w:rPr>
            <w:t>, ‘nieuwe tekst’</w:t>
          </w:r>
          <w:r>
            <w:rPr>
              <w:rFonts w:asciiTheme="minorHAnsi" w:hAnsiTheme="minorHAnsi"/>
              <w:szCs w:val="22"/>
            </w:rPr>
            <w:t>.</w:t>
          </w:r>
        </w:p>
        <w:p w:rsidR="007F7B37" w:rsidRDefault="007F7B37" w:rsidP="007F7B37">
          <w:pPr>
            <w:pStyle w:val="Geenafstand"/>
            <w:rPr>
              <w:rFonts w:asciiTheme="minorHAnsi" w:hAnsiTheme="minorHAnsi"/>
              <w:b/>
            </w:rPr>
          </w:pPr>
          <w:r w:rsidRPr="00D84B1C">
            <w:rPr>
              <w:rFonts w:asciiTheme="minorHAnsi" w:hAnsiTheme="minorHAnsi"/>
              <w:szCs w:val="22"/>
            </w:rPr>
            <w:t>- [</w:t>
          </w:r>
          <w:r w:rsidRPr="00D84B1C">
            <w:rPr>
              <w:rFonts w:asciiTheme="minorHAnsi" w:hAnsiTheme="minorHAnsi"/>
              <w:b/>
              <w:bCs/>
              <w:szCs w:val="22"/>
            </w:rPr>
            <w:t>(iets)</w:t>
          </w:r>
          <w:r w:rsidRPr="00D84B1C">
            <w:rPr>
              <w:rFonts w:asciiTheme="minorHAnsi" w:hAnsiTheme="minorHAnsi"/>
              <w:szCs w:val="22"/>
            </w:rPr>
            <w:t>] = een voorbeeld ter illustratie of uitleg voor gemeente</w:t>
          </w:r>
          <w:r>
            <w:rPr>
              <w:rFonts w:asciiTheme="minorHAnsi" w:hAnsiTheme="minorHAnsi"/>
              <w:szCs w:val="22"/>
            </w:rPr>
            <w:t>, zie bijvoorbeeld artikel II.</w:t>
          </w:r>
          <w:r w:rsidRPr="008A6BD1">
            <w:rPr>
              <w:rFonts w:asciiTheme="minorHAnsi" w:hAnsiTheme="minorHAnsi"/>
              <w:szCs w:val="22"/>
            </w:rPr>
            <w:br/>
            <w:t>- Combinaties zijn ook mogelijk</w:t>
          </w:r>
          <w:r>
            <w:rPr>
              <w:rFonts w:asciiTheme="minorHAnsi" w:hAnsiTheme="minorHAnsi"/>
              <w:szCs w:val="22"/>
            </w:rPr>
            <w:t xml:space="preserve">, zie bijvoorbeeld artikel I bij artikel 11, vijfde lid, onderdeel a, </w:t>
          </w:r>
          <w:r>
            <w:rPr>
              <w:rFonts w:asciiTheme="minorHAnsi" w:hAnsiTheme="minorHAnsi"/>
            </w:rPr>
            <w:t>‘nieuwe tekst’</w:t>
          </w:r>
          <w:r>
            <w:rPr>
              <w:rFonts w:asciiTheme="minorHAnsi" w:hAnsiTheme="minorHAnsi"/>
              <w:szCs w:val="22"/>
            </w:rPr>
            <w:t>.</w:t>
          </w:r>
        </w:p>
      </w:tc>
    </w:tr>
  </w:tbl>
  <w:p w:rsidR="007F7B37" w:rsidRPr="008A6BD1" w:rsidRDefault="007F7B37" w:rsidP="007F7B37">
    <w:pPr>
      <w:pStyle w:val="Geenafstand"/>
    </w:pPr>
  </w:p>
  <w:p w:rsidR="007F7B37" w:rsidRDefault="007F7B37">
    <w:pPr>
      <w:pStyle w:val="Koptekst"/>
    </w:pPr>
  </w:p>
  <w:p w:rsidR="007F7B37" w:rsidRDefault="007F7B3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03015"/>
    <w:multiLevelType w:val="hybridMultilevel"/>
    <w:tmpl w:val="C4687F82"/>
    <w:lvl w:ilvl="0" w:tplc="26A87FDE">
      <w:start w:val="1"/>
      <w:numFmt w:val="lowerLetter"/>
      <w:pStyle w:val="Lijst3"/>
      <w:lvlText w:val="%1"/>
      <w:lvlJc w:val="left"/>
      <w:pPr>
        <w:ind w:left="720" w:hanging="360"/>
      </w:pPr>
    </w:lvl>
    <w:lvl w:ilvl="1" w:tplc="C82CBF2C">
      <w:numFmt w:val="decimal"/>
      <w:lvlText w:val=""/>
      <w:lvlJc w:val="left"/>
    </w:lvl>
    <w:lvl w:ilvl="2" w:tplc="6F8A8F34">
      <w:numFmt w:val="decimal"/>
      <w:lvlText w:val=""/>
      <w:lvlJc w:val="left"/>
    </w:lvl>
    <w:lvl w:ilvl="3" w:tplc="2FA08B44">
      <w:numFmt w:val="decimal"/>
      <w:lvlText w:val=""/>
      <w:lvlJc w:val="left"/>
    </w:lvl>
    <w:lvl w:ilvl="4" w:tplc="30383D28">
      <w:numFmt w:val="decimal"/>
      <w:lvlText w:val=""/>
      <w:lvlJc w:val="left"/>
    </w:lvl>
    <w:lvl w:ilvl="5" w:tplc="8CF05516">
      <w:numFmt w:val="decimal"/>
      <w:lvlText w:val=""/>
      <w:lvlJc w:val="left"/>
    </w:lvl>
    <w:lvl w:ilvl="6" w:tplc="B046E830">
      <w:numFmt w:val="decimal"/>
      <w:lvlText w:val=""/>
      <w:lvlJc w:val="left"/>
    </w:lvl>
    <w:lvl w:ilvl="7" w:tplc="32C40B2C">
      <w:numFmt w:val="decimal"/>
      <w:lvlText w:val=""/>
      <w:lvlJc w:val="left"/>
    </w:lvl>
    <w:lvl w:ilvl="8" w:tplc="0F4C581C">
      <w:numFmt w:val="decimal"/>
      <w:lvlText w:val=""/>
      <w:lvlJc w:val="left"/>
    </w:lvl>
  </w:abstractNum>
  <w:abstractNum w:abstractNumId="1" w15:restartNumberingAfterBreak="0">
    <w:nsid w:val="34E85753"/>
    <w:multiLevelType w:val="hybridMultilevel"/>
    <w:tmpl w:val="87A42BDA"/>
    <w:lvl w:ilvl="0" w:tplc="95CE6D6C">
      <w:start w:val="1"/>
      <w:numFmt w:val="lowerLetter"/>
      <w:pStyle w:val="Lijst5"/>
      <w:lvlText w:val="%1"/>
      <w:lvlJc w:val="left"/>
      <w:pPr>
        <w:ind w:left="720" w:hanging="360"/>
      </w:pPr>
    </w:lvl>
    <w:lvl w:ilvl="1" w:tplc="2A6A88D4">
      <w:numFmt w:val="decimal"/>
      <w:lvlText w:val=""/>
      <w:lvlJc w:val="left"/>
    </w:lvl>
    <w:lvl w:ilvl="2" w:tplc="B9FEE852">
      <w:numFmt w:val="decimal"/>
      <w:lvlText w:val=""/>
      <w:lvlJc w:val="left"/>
    </w:lvl>
    <w:lvl w:ilvl="3" w:tplc="38988144">
      <w:numFmt w:val="decimal"/>
      <w:lvlText w:val=""/>
      <w:lvlJc w:val="left"/>
    </w:lvl>
    <w:lvl w:ilvl="4" w:tplc="6D56FB98">
      <w:numFmt w:val="decimal"/>
      <w:lvlText w:val=""/>
      <w:lvlJc w:val="left"/>
    </w:lvl>
    <w:lvl w:ilvl="5" w:tplc="884A1D76">
      <w:numFmt w:val="decimal"/>
      <w:lvlText w:val=""/>
      <w:lvlJc w:val="left"/>
    </w:lvl>
    <w:lvl w:ilvl="6" w:tplc="7EE6C01C">
      <w:numFmt w:val="decimal"/>
      <w:lvlText w:val=""/>
      <w:lvlJc w:val="left"/>
    </w:lvl>
    <w:lvl w:ilvl="7" w:tplc="6494FE22">
      <w:numFmt w:val="decimal"/>
      <w:lvlText w:val=""/>
      <w:lvlJc w:val="left"/>
    </w:lvl>
    <w:lvl w:ilvl="8" w:tplc="29FE5D02">
      <w:numFmt w:val="decimal"/>
      <w:lvlText w:val=""/>
      <w:lvlJc w:val="left"/>
    </w:lvl>
  </w:abstractNum>
  <w:abstractNum w:abstractNumId="2" w15:restartNumberingAfterBreak="0">
    <w:nsid w:val="3E563CE4"/>
    <w:multiLevelType w:val="hybridMultilevel"/>
    <w:tmpl w:val="8D0805A0"/>
    <w:lvl w:ilvl="0" w:tplc="11568656">
      <w:start w:val="1"/>
      <w:numFmt w:val="lowerLetter"/>
      <w:pStyle w:val="Lijstopsomteken"/>
      <w:lvlText w:val="%1"/>
      <w:lvlJc w:val="left"/>
      <w:pPr>
        <w:ind w:left="720" w:hanging="360"/>
      </w:pPr>
    </w:lvl>
    <w:lvl w:ilvl="1" w:tplc="F138A4B8">
      <w:numFmt w:val="decimal"/>
      <w:lvlText w:val=""/>
      <w:lvlJc w:val="left"/>
    </w:lvl>
    <w:lvl w:ilvl="2" w:tplc="9E2EB564">
      <w:numFmt w:val="decimal"/>
      <w:lvlText w:val=""/>
      <w:lvlJc w:val="left"/>
    </w:lvl>
    <w:lvl w:ilvl="3" w:tplc="5C76980C">
      <w:numFmt w:val="decimal"/>
      <w:lvlText w:val=""/>
      <w:lvlJc w:val="left"/>
    </w:lvl>
    <w:lvl w:ilvl="4" w:tplc="AC362F42">
      <w:numFmt w:val="decimal"/>
      <w:lvlText w:val=""/>
      <w:lvlJc w:val="left"/>
    </w:lvl>
    <w:lvl w:ilvl="5" w:tplc="46EC202A">
      <w:numFmt w:val="decimal"/>
      <w:lvlText w:val=""/>
      <w:lvlJc w:val="left"/>
    </w:lvl>
    <w:lvl w:ilvl="6" w:tplc="4E78E09E">
      <w:numFmt w:val="decimal"/>
      <w:lvlText w:val=""/>
      <w:lvlJc w:val="left"/>
    </w:lvl>
    <w:lvl w:ilvl="7" w:tplc="C71AB328">
      <w:numFmt w:val="decimal"/>
      <w:lvlText w:val=""/>
      <w:lvlJc w:val="left"/>
    </w:lvl>
    <w:lvl w:ilvl="8" w:tplc="9B6AE234">
      <w:numFmt w:val="decimal"/>
      <w:lvlText w:val=""/>
      <w:lvlJc w:val="left"/>
    </w:lvl>
  </w:abstractNum>
  <w:abstractNum w:abstractNumId="3" w15:restartNumberingAfterBreak="0">
    <w:nsid w:val="46586EEE"/>
    <w:multiLevelType w:val="hybridMultilevel"/>
    <w:tmpl w:val="CB58987E"/>
    <w:lvl w:ilvl="0" w:tplc="ADC29FDA">
      <w:start w:val="1"/>
      <w:numFmt w:val="lowerLetter"/>
      <w:pStyle w:val="Lijst4"/>
      <w:lvlText w:val="%1"/>
      <w:lvlJc w:val="left"/>
      <w:pPr>
        <w:ind w:left="720" w:hanging="360"/>
      </w:pPr>
    </w:lvl>
    <w:lvl w:ilvl="1" w:tplc="F9909A1E">
      <w:start w:val="1"/>
      <w:numFmt w:val="decimal"/>
      <w:lvlText w:val="%2"/>
      <w:lvlJc w:val="left"/>
      <w:pPr>
        <w:ind w:left="1440" w:hanging="360"/>
      </w:pPr>
    </w:lvl>
    <w:lvl w:ilvl="2" w:tplc="150CE346">
      <w:numFmt w:val="decimal"/>
      <w:lvlText w:val=""/>
      <w:lvlJc w:val="left"/>
    </w:lvl>
    <w:lvl w:ilvl="3" w:tplc="B52CEA50">
      <w:numFmt w:val="decimal"/>
      <w:lvlText w:val=""/>
      <w:lvlJc w:val="left"/>
    </w:lvl>
    <w:lvl w:ilvl="4" w:tplc="BF189686">
      <w:numFmt w:val="decimal"/>
      <w:lvlText w:val=""/>
      <w:lvlJc w:val="left"/>
    </w:lvl>
    <w:lvl w:ilvl="5" w:tplc="04405058">
      <w:numFmt w:val="decimal"/>
      <w:lvlText w:val=""/>
      <w:lvlJc w:val="left"/>
    </w:lvl>
    <w:lvl w:ilvl="6" w:tplc="A5F40C2E">
      <w:numFmt w:val="decimal"/>
      <w:lvlText w:val=""/>
      <w:lvlJc w:val="left"/>
    </w:lvl>
    <w:lvl w:ilvl="7" w:tplc="A13AC23E">
      <w:numFmt w:val="decimal"/>
      <w:lvlText w:val=""/>
      <w:lvlJc w:val="left"/>
    </w:lvl>
    <w:lvl w:ilvl="8" w:tplc="5FBE58C0">
      <w:numFmt w:val="decimal"/>
      <w:lvlText w:val=""/>
      <w:lvlJc w:val="left"/>
    </w:lvl>
  </w:abstractNum>
  <w:abstractNum w:abstractNumId="4" w15:restartNumberingAfterBreak="0">
    <w:nsid w:val="4C3022CA"/>
    <w:multiLevelType w:val="multilevel"/>
    <w:tmpl w:val="C10099AE"/>
    <w:lvl w:ilvl="0">
      <w:start w:val="1"/>
      <w:numFmt w:val="decimal"/>
      <w:pStyle w:val="Lijstopsomteken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14DAD"/>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7F7B37"/>
    <w:rsid w:val="00801C02"/>
    <w:rsid w:val="008113A3"/>
    <w:rsid w:val="00820840"/>
    <w:rsid w:val="008244E0"/>
    <w:rsid w:val="008332EB"/>
    <w:rsid w:val="008423BF"/>
    <w:rsid w:val="00845289"/>
    <w:rsid w:val="0084776B"/>
    <w:rsid w:val="008628B8"/>
    <w:rsid w:val="00867EBE"/>
    <w:rsid w:val="008718FB"/>
    <w:rsid w:val="00873E5C"/>
    <w:rsid w:val="00884695"/>
    <w:rsid w:val="00886464"/>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0E0B"/>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5:docId w15:val="{D237620E-E105-4D34-A9C6-E5A16DE7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Alinea"/>
    <w:qFormat/>
    <w:rsid w:val="00EC0E0B"/>
    <w:pPr>
      <w:spacing w:line="312" w:lineRule="auto"/>
    </w:pPr>
    <w:rPr>
      <w:rFonts w:ascii="Arial" w:hAnsi="Arial" w:cstheme="majorBidi"/>
      <w:iCs/>
      <w:szCs w:val="24"/>
    </w:rPr>
  </w:style>
  <w:style w:type="paragraph" w:styleId="Kop1">
    <w:name w:val="heading 1"/>
    <w:aliases w:val="Aanhef Regeling"/>
    <w:basedOn w:val="Standaard"/>
    <w:next w:val="Standaard"/>
    <w:link w:val="Kop1Char"/>
    <w:qFormat/>
    <w:rsid w:val="00EC0E0B"/>
    <w:pPr>
      <w:keepNext/>
      <w:keepLines/>
      <w:spacing w:before="120" w:after="120"/>
      <w:outlineLvl w:val="0"/>
    </w:pPr>
    <w:rPr>
      <w:rFonts w:eastAsiaTheme="majorEastAsia"/>
      <w:b/>
      <w:bCs/>
      <w:sz w:val="24"/>
      <w:szCs w:val="28"/>
    </w:rPr>
  </w:style>
  <w:style w:type="paragraph" w:styleId="Kop2">
    <w:name w:val="heading 2"/>
    <w:aliases w:val="Hoofdstuk"/>
    <w:basedOn w:val="Standaard"/>
    <w:next w:val="Standaard"/>
    <w:rsid w:val="001B47F7"/>
    <w:pPr>
      <w:keepNext/>
      <w:keepLines/>
      <w:spacing w:before="240"/>
      <w:outlineLvl w:val="1"/>
    </w:pPr>
    <w:rPr>
      <w:b/>
      <w:bCs/>
      <w:sz w:val="22"/>
      <w:szCs w:val="22"/>
    </w:rPr>
  </w:style>
  <w:style w:type="paragraph" w:styleId="Kop3">
    <w:name w:val="heading 3"/>
    <w:aliases w:val="Artikel"/>
    <w:basedOn w:val="Standaard"/>
    <w:next w:val="Standaard"/>
    <w:rsid w:val="001B47F7"/>
    <w:pPr>
      <w:keepNext/>
      <w:keepLines/>
      <w:spacing w:before="240"/>
      <w:outlineLvl w:val="2"/>
    </w:pPr>
    <w:rPr>
      <w:b/>
      <w:bCs/>
    </w:rPr>
  </w:style>
  <w:style w:type="paragraph" w:styleId="Kop4">
    <w:name w:val="heading 4"/>
    <w:aliases w:val="Paragraaf"/>
    <w:basedOn w:val="Standaard"/>
    <w:next w:val="Standaard"/>
    <w:rsid w:val="00160556"/>
    <w:pPr>
      <w:keepNext/>
      <w:keepLines/>
      <w:spacing w:before="240"/>
      <w:outlineLvl w:val="3"/>
    </w:pPr>
    <w:rPr>
      <w:rFonts w:asciiTheme="minorHAnsi" w:hAnsiTheme="minorHAnsi"/>
      <w:b/>
      <w:sz w:val="22"/>
    </w:rPr>
  </w:style>
  <w:style w:type="paragraph" w:styleId="Kop5">
    <w:name w:val="heading 5"/>
    <w:aliases w:val="Sluiting"/>
    <w:basedOn w:val="Standaard"/>
    <w:next w:val="Standaard"/>
    <w:rsid w:val="00160556"/>
    <w:pPr>
      <w:outlineLvl w:val="4"/>
    </w:pPr>
    <w:rPr>
      <w:rFonts w:ascii="Calibri" w:hAnsi="Calibri"/>
      <w:sz w:val="22"/>
    </w:r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uiPriority w:val="1"/>
    <w:semiHidden/>
    <w:unhideWhenUsed/>
    <w:rsid w:val="00EC0E0B"/>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EC0E0B"/>
  </w:style>
  <w:style w:type="paragraph" w:styleId="Bijschrift">
    <w:name w:val="caption"/>
    <w:basedOn w:val="Standaard"/>
    <w:next w:val="Standaard"/>
    <w:rsid w:val="001B47F7"/>
    <w:rPr>
      <w:i/>
      <w:iCs w:val="0"/>
      <w:spacing w:val="6"/>
    </w:rPr>
  </w:style>
  <w:style w:type="paragraph" w:styleId="Bronvermelding">
    <w:name w:val="table of authorities"/>
    <w:basedOn w:val="Standaard"/>
    <w:next w:val="Standaard"/>
    <w:semiHidden/>
    <w:rsid w:val="001B47F7"/>
    <w:rPr>
      <w:i/>
      <w:iCs w:val="0"/>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semiHidden/>
    <w:rsid w:val="001B47F7"/>
    <w:pPr>
      <w:tabs>
        <w:tab w:val="right" w:leader="dot" w:pos="8503"/>
      </w:tabs>
      <w:ind w:left="567" w:right="567" w:hanging="567"/>
    </w:pPr>
    <w:rPr>
      <w:spacing w:val="6"/>
    </w:rPr>
  </w:style>
  <w:style w:type="paragraph" w:styleId="Inhopg2">
    <w:name w:val="toc 2"/>
    <w:basedOn w:val="Inhopg1"/>
    <w:next w:val="Standaard"/>
    <w:autoRedefine/>
    <w:semiHidden/>
    <w:rsid w:val="001B47F7"/>
  </w:style>
  <w:style w:type="paragraph" w:styleId="Inhopg3">
    <w:name w:val="toc 3"/>
    <w:basedOn w:val="Inhopg1"/>
    <w:next w:val="Standaard"/>
    <w:autoRedefine/>
    <w:semiHidden/>
    <w:rsid w:val="001B47F7"/>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outlineLvl w:val="9"/>
    </w:pPr>
  </w:style>
  <w:style w:type="paragraph" w:styleId="Koptekst">
    <w:name w:val="header"/>
    <w:basedOn w:val="Standaard"/>
    <w:link w:val="KoptekstChar"/>
    <w:uiPriority w:val="99"/>
    <w:rsid w:val="001B47F7"/>
    <w:pPr>
      <w:tabs>
        <w:tab w:val="center" w:pos="4536"/>
        <w:tab w:val="right" w:pos="9072"/>
      </w:tabs>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numPr>
        <w:numId w:val="2"/>
      </w:numPr>
      <w:ind w:left="1135" w:hanging="284"/>
    </w:pPr>
  </w:style>
  <w:style w:type="paragraph" w:styleId="Lijst5">
    <w:name w:val="List 5"/>
    <w:basedOn w:val="Standaard"/>
    <w:rsid w:val="001B47F7"/>
    <w:pPr>
      <w:numPr>
        <w:numId w:val="3"/>
      </w:numPr>
      <w:ind w:left="1418" w:hanging="284"/>
    </w:pPr>
  </w:style>
  <w:style w:type="paragraph" w:styleId="Lijstopsomteken">
    <w:name w:val="List Bullet"/>
    <w:basedOn w:val="Standaard"/>
    <w:rsid w:val="001B47F7"/>
    <w:pPr>
      <w:numPr>
        <w:numId w:val="4"/>
      </w:numPr>
      <w:ind w:left="284" w:hanging="284"/>
    </w:pPr>
  </w:style>
  <w:style w:type="paragraph" w:styleId="Lijstopsomteken2">
    <w:name w:val="List Bullet 2"/>
    <w:basedOn w:val="Standaard"/>
    <w:rsid w:val="001B47F7"/>
    <w:pPr>
      <w:numPr>
        <w:numId w:val="5"/>
      </w:numPr>
      <w:ind w:left="568"/>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val="0"/>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rsid w:val="001B47F7"/>
    <w:pPr>
      <w:spacing w:line="240" w:lineRule="exact"/>
      <w:ind w:right="-1021"/>
      <w:jc w:val="right"/>
    </w:pPr>
    <w:rPr>
      <w:iCs w:val="0"/>
      <w:sz w:val="16"/>
      <w:szCs w:val="16"/>
    </w:rPr>
  </w:style>
  <w:style w:type="character" w:styleId="Hyperlink">
    <w:name w:val="Hyperlink"/>
    <w:basedOn w:val="Standaardalinea-lettertype"/>
    <w:rsid w:val="00DF32F3"/>
    <w:rPr>
      <w:color w:val="0000FF"/>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uiPriority w:val="99"/>
    <w:rsid w:val="00EA4F58"/>
    <w:rPr>
      <w:rFonts w:ascii="Lucida Sans Unicode" w:hAnsi="Lucida Sans Unicode" w:cs="Arial"/>
      <w:sz w:val="18"/>
    </w:rPr>
  </w:style>
  <w:style w:type="paragraph" w:styleId="Lijstalinea">
    <w:name w:val="List Paragraph"/>
    <w:basedOn w:val="Standaard"/>
    <w:uiPriority w:val="34"/>
    <w:rsid w:val="009C3363"/>
    <w:pPr>
      <w:ind w:left="720"/>
      <w:contextualSpacing/>
    </w:pPr>
  </w:style>
  <w:style w:type="paragraph" w:styleId="Titel">
    <w:name w:val="Title"/>
    <w:aliases w:val="Titel Regeling"/>
    <w:basedOn w:val="Standaard"/>
    <w:next w:val="Standaard"/>
    <w:link w:val="TitelChar"/>
    <w:rsid w:val="00D26784"/>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D2678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qFormat/>
    <w:rsid w:val="00EC0E0B"/>
    <w:pPr>
      <w:numPr>
        <w:ilvl w:val="1"/>
      </w:numPr>
    </w:pPr>
    <w:rPr>
      <w:rFonts w:eastAsiaTheme="majorEastAsia"/>
      <w:i/>
      <w:iCs w:val="0"/>
      <w:spacing w:val="15"/>
    </w:rPr>
  </w:style>
  <w:style w:type="character" w:customStyle="1" w:styleId="OndertitelChar">
    <w:name w:val="Ondertitel Char"/>
    <w:basedOn w:val="Standaardalinea-lettertype"/>
    <w:link w:val="Ondertitel"/>
    <w:rsid w:val="00EC0E0B"/>
    <w:rPr>
      <w:rFonts w:ascii="Arial" w:eastAsiaTheme="majorEastAsia" w:hAnsi="Arial" w:cstheme="majorBidi"/>
      <w:i/>
      <w:spacing w:val="15"/>
      <w:szCs w:val="24"/>
    </w:rPr>
  </w:style>
  <w:style w:type="character" w:styleId="Zwaar">
    <w:name w:val="Strong"/>
    <w:basedOn w:val="Standaardalinea-lettertype"/>
    <w:rsid w:val="008A21EE"/>
    <w:rPr>
      <w:b/>
      <w:bCs/>
    </w:rPr>
  </w:style>
  <w:style w:type="paragraph" w:styleId="Geenafstand">
    <w:name w:val="No Spacing"/>
    <w:uiPriority w:val="1"/>
    <w:qFormat/>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B304E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cs="Times New Roman"/>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
    <w:basedOn w:val="Standaardalinea-lettertype"/>
    <w:link w:val="Kop1"/>
    <w:rsid w:val="00EC0E0B"/>
    <w:rPr>
      <w:rFonts w:ascii="Arial" w:eastAsiaTheme="majorEastAsia" w:hAnsi="Arial" w:cstheme="majorBidi"/>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1632</Words>
  <Characters>8938</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Ozlem Keskin</cp:lastModifiedBy>
  <cp:revision>3</cp:revision>
  <cp:lastPrinted>2014-05-22T08:59:00Z</cp:lastPrinted>
  <dcterms:created xsi:type="dcterms:W3CDTF">2017-09-26T07:10:00Z</dcterms:created>
  <dcterms:modified xsi:type="dcterms:W3CDTF">2017-09-26T07:33:00Z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