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731" w:rsidRDefault="00334BF5">
      <w:pPr>
        <w:pStyle w:val="OPTitel"/>
      </w:pPr>
      <w:r>
        <w:t>Model Raadsbesluit wijziging Algemene plaatselijke verordening</w:t>
      </w:r>
    </w:p>
    <w:p w:rsidR="006D5731" w:rsidRDefault="00334BF5">
      <w:pPr>
        <w:pStyle w:val="OPAanhef"/>
      </w:pPr>
      <w:r>
        <w:t>De raad van de gemeente [naam gemeente];</w:t>
      </w:r>
    </w:p>
    <w:p w:rsidR="006D5731" w:rsidRDefault="00334BF5">
      <w:pPr>
        <w:pStyle w:val="OPAanhef"/>
      </w:pPr>
      <w:r>
        <w:t>gelezen het voorstel van het college van burgemeester en wethouders van [datum en nummer];</w:t>
      </w:r>
    </w:p>
    <w:p w:rsidR="006D5731" w:rsidRDefault="00334BF5">
      <w:pPr>
        <w:pStyle w:val="OPAanhef"/>
      </w:pPr>
      <w:r>
        <w:t>gelet op artikel 149 van de Gemeentewet;</w:t>
      </w:r>
    </w:p>
    <w:p w:rsidR="006D5731" w:rsidRDefault="00334BF5">
      <w:pPr>
        <w:pStyle w:val="OPAanhef"/>
      </w:pPr>
      <w:r>
        <w:t>gezien het advies van [naam commissie];</w:t>
      </w:r>
    </w:p>
    <w:p w:rsidR="006D5731" w:rsidRDefault="00334BF5">
      <w:pPr>
        <w:pStyle w:val="OPAanhef"/>
      </w:pPr>
      <w:r>
        <w:t>besluit vast te stellen de volgende wijziging van de [citeertitel APV].</w:t>
      </w:r>
    </w:p>
    <w:p w:rsidR="00334BF5" w:rsidRDefault="00334BF5">
      <w:pPr>
        <w:pStyle w:val="OPArtikelTitel"/>
      </w:pPr>
    </w:p>
    <w:p w:rsidR="006D5731" w:rsidRDefault="00334BF5">
      <w:pPr>
        <w:pStyle w:val="OPArtikelTitel"/>
      </w:pPr>
      <w:r>
        <w:t>Artikel I</w:t>
      </w:r>
    </w:p>
    <w:p w:rsidR="006D5731" w:rsidRDefault="00334BF5">
      <w:r>
        <w:t>De [citeertitel APV] wordt gewijzigd als volgt:</w:t>
      </w:r>
    </w:p>
    <w:p w:rsidR="006D5731" w:rsidRDefault="00334BF5">
      <w:r>
        <w:t xml:space="preserve"> </w:t>
      </w:r>
    </w:p>
    <w:p w:rsidR="006D5731" w:rsidRDefault="00334BF5">
      <w:r>
        <w:t>A</w:t>
      </w:r>
    </w:p>
    <w:p w:rsidR="006D5731" w:rsidRDefault="00334BF5">
      <w:r>
        <w:t>In artikel 1:6, onderdeel d, wordt na ‘gemaakt binnen’ ingevoegd: ‘of gedurende’.</w:t>
      </w:r>
    </w:p>
    <w:p w:rsidR="006D5731" w:rsidRDefault="00334BF5">
      <w:r>
        <w:t xml:space="preserve"> </w:t>
      </w:r>
    </w:p>
    <w:p w:rsidR="006D5731" w:rsidRDefault="00334BF5">
      <w:r>
        <w:t>B</w:t>
      </w:r>
    </w:p>
    <w:p w:rsidR="006D5731" w:rsidRDefault="00334BF5">
      <w:r>
        <w:t>Artikel 1:7 komt te luiden:</w:t>
      </w:r>
    </w:p>
    <w:p w:rsidR="006D5731" w:rsidRDefault="00334BF5">
      <w:r>
        <w:t xml:space="preserve"> </w:t>
      </w:r>
    </w:p>
    <w:p w:rsidR="006D5731" w:rsidRDefault="00334BF5">
      <w:r>
        <w:t>Artikel 1:7 Termijnen</w:t>
      </w:r>
    </w:p>
    <w:p w:rsidR="006D5731" w:rsidRDefault="00334BF5">
      <w:r>
        <w:t>1. De vergunning of ontheffing geldt voor onbepaalde tijd, tenzij bij de vergunning of ontheffing anders is bepaald of de aard van de vergunning of ontheffing zich daartegen verzet.</w:t>
      </w:r>
    </w:p>
    <w:p w:rsidR="006D5731" w:rsidRDefault="00334BF5">
      <w:r>
        <w:t>2. De aard van de vergunning of ontheffing verzet zich in ieder geval tegen gelding voor onbepaalde tijd indien het aantal vergunningen of ontheffingen is beperkt en het aantal mogelijke aanvragers het aantal beschikbare vergunningen of ontheffingen overtreft.</w:t>
      </w:r>
    </w:p>
    <w:p w:rsidR="006D5731" w:rsidRDefault="00334BF5">
      <w:r>
        <w:t xml:space="preserve"> </w:t>
      </w:r>
    </w:p>
    <w:p w:rsidR="006D5731" w:rsidRDefault="00334BF5">
      <w:r>
        <w:t>C</w:t>
      </w:r>
    </w:p>
    <w:p w:rsidR="006D5731" w:rsidRDefault="00334BF5">
      <w:r>
        <w:t>Artikel 2:27 komt te luiden:</w:t>
      </w:r>
    </w:p>
    <w:p w:rsidR="006D5731" w:rsidRDefault="00334BF5">
      <w:r>
        <w:t xml:space="preserve"> </w:t>
      </w:r>
    </w:p>
    <w:p w:rsidR="006D5731" w:rsidRDefault="00334BF5">
      <w:r>
        <w:t>Artikel 2:27 Begripsbepalingen</w:t>
      </w:r>
    </w:p>
    <w:p w:rsidR="006D5731" w:rsidRDefault="00334BF5">
      <w:r>
        <w:t>1. In deze afdeling wordt verstaan onder:</w:t>
      </w:r>
    </w:p>
    <w:p w:rsidR="006D5731" w:rsidRDefault="00334BF5">
      <w:r>
        <w:t>a. openbare inrichting:</w:t>
      </w:r>
    </w:p>
    <w:p w:rsidR="006D5731" w:rsidRDefault="00334BF5">
      <w:r>
        <w:t>1. een hotel, restaurant, pension, café, cafetaria, snackbar, discotheek, buurthuis of clubhuis;</w:t>
      </w:r>
    </w:p>
    <w:p w:rsidR="006D5731" w:rsidRDefault="00334BF5">
      <w:r>
        <w:t>2. elke andere voor het publiek toegankelijke, besloten ruimte waarin bedrijfsmatig of in een omvang alsof zij bedrijfsmatig was logies wordt verstrekt of dranken worden geschonken of rookwaren of spijzen voor directe consumptie ter plaatse worden verstrekt of bereid;</w:t>
      </w:r>
    </w:p>
    <w:p w:rsidR="006D5731" w:rsidRDefault="00334BF5">
      <w:r>
        <w:lastRenderedPageBreak/>
        <w:t>b. terras: een buiten de besloten ruimte van de openbare inrichting liggend deel daarvan waar sta- of zitgelegenheid kan worden geboden en waar tegen vergoeding dranken kunnen worden geschonken of spijzen voor directe consumptie ter plaatse kunnen worden bereid of verstrekt.</w:t>
      </w:r>
    </w:p>
    <w:p w:rsidR="006D5731" w:rsidRDefault="00334BF5">
      <w:r>
        <w:t>2. Onder openbare inrichting wordt mede verstaan een buiten de besloten ruimte van de openbare inrichting liggend deel daarvan waar sta- of zitgelegenheid kan worden geboden en waar tegen vergoeding dranken kunnen worden geschonken of spijzen voor directe consumptie ter plaatse kunnen worden bereid of verstrekt.</w:t>
      </w:r>
    </w:p>
    <w:p w:rsidR="006D5731" w:rsidRDefault="00334BF5">
      <w:r>
        <w:t xml:space="preserve"> </w:t>
      </w:r>
    </w:p>
    <w:p w:rsidR="006D5731" w:rsidRDefault="00334BF5">
      <w:r>
        <w:t>D</w:t>
      </w:r>
    </w:p>
    <w:p w:rsidR="006D5731" w:rsidRDefault="00334BF5">
      <w:r>
        <w:t>In artikel 2:38 wordt ‘naam, adres, woonplaats, geboortedatum, geboorteplaats,’ vervangen door: ‘naam, woonplaats,’.</w:t>
      </w:r>
    </w:p>
    <w:p w:rsidR="006D5731" w:rsidRDefault="00334BF5">
      <w:r>
        <w:t xml:space="preserve"> </w:t>
      </w:r>
    </w:p>
    <w:p w:rsidR="006D5731" w:rsidRDefault="00334BF5">
      <w:r>
        <w:t>E</w:t>
      </w:r>
    </w:p>
    <w:p w:rsidR="006D5731" w:rsidRDefault="00334BF5">
      <w:r>
        <w:t>In artikel 2:42, tweede lid, onderdeel b, wordt ‘kalk, krijt, teer’ vervangen door: ‘kalk, teer,’.</w:t>
      </w:r>
    </w:p>
    <w:p w:rsidR="006D5731" w:rsidRDefault="00334BF5">
      <w:r>
        <w:t xml:space="preserve"> </w:t>
      </w:r>
    </w:p>
    <w:p w:rsidR="006D5731" w:rsidRDefault="00334BF5">
      <w:r>
        <w:t>F</w:t>
      </w:r>
    </w:p>
    <w:p w:rsidR="006D5731" w:rsidRDefault="00334BF5">
      <w:r>
        <w:t>Na artikel 2:74 wordt een artikel ingevoegd, luidende:</w:t>
      </w:r>
    </w:p>
    <w:p w:rsidR="006D5731" w:rsidRDefault="00334BF5">
      <w:r>
        <w:t xml:space="preserve"> </w:t>
      </w:r>
    </w:p>
    <w:p w:rsidR="006D5731" w:rsidRDefault="00334BF5">
      <w:r>
        <w:t>[Artikel 2:74a Openlijk drugsgebruik</w:t>
      </w:r>
    </w:p>
    <w:p w:rsidR="006D5731" w:rsidRDefault="00334BF5">
      <w:r>
        <w:t xml:space="preserve"> </w:t>
      </w:r>
    </w:p>
    <w:p w:rsidR="006D5731" w:rsidRDefault="00334BF5">
      <w:r>
        <w:t>Het is verboden op of aan de weg, op een andere openbare plaats of in een voor publiek toegankelijk gebouw middelen als bedoeld in de artikelen 2 of 3 van de Opiumwet of daarop gelijkende waar te gebruiken, toe te dienen, dan wel voorbereidingen daartoe te verrichten of ten behoeve van dat gebruik voorwerpen of stoffen voorhanden te hebben.]</w:t>
      </w:r>
    </w:p>
    <w:p w:rsidR="006D5731" w:rsidRDefault="00334BF5">
      <w:r>
        <w:t xml:space="preserve"> </w:t>
      </w:r>
    </w:p>
    <w:p w:rsidR="006D5731" w:rsidRDefault="00334BF5">
      <w:r>
        <w:t>G</w:t>
      </w:r>
    </w:p>
    <w:p w:rsidR="006D5731" w:rsidRDefault="00334BF5">
      <w:r>
        <w:t>Artikel 4:11 komt te luiden:</w:t>
      </w:r>
    </w:p>
    <w:p w:rsidR="006D5731" w:rsidRDefault="00334BF5">
      <w:r>
        <w:t xml:space="preserve"> </w:t>
      </w:r>
    </w:p>
    <w:p w:rsidR="006D5731" w:rsidRDefault="00334BF5">
      <w:r>
        <w:t xml:space="preserve">Artikel 4:11 Omgevingsvergunning voor het vellen van houtopstanden </w:t>
      </w:r>
    </w:p>
    <w:p w:rsidR="006D5731" w:rsidRDefault="00334BF5">
      <w:r>
        <w:t>1. Het college stelt een Bomenlijst vast waarop de monumentale en andere beschermingswaardige bomen in de gemeente worden vermeld.</w:t>
      </w:r>
    </w:p>
    <w:p w:rsidR="006D5731" w:rsidRDefault="00334BF5">
      <w:r>
        <w:t>2. Het is verboden zonder vergunning van het bevoegd gezag de houtopstanden te vellen of te doen vellen die staan vermeld op de in het eerste lid genoemde Bomenlijst .</w:t>
      </w:r>
    </w:p>
    <w:p w:rsidR="006D5731" w:rsidRDefault="00334BF5">
      <w:r>
        <w:t>3. In afwijking van artikel 1:8 kan de vergunning worden geweigerd op grond van:</w:t>
      </w:r>
    </w:p>
    <w:p w:rsidR="006D5731" w:rsidRDefault="00334BF5">
      <w:r>
        <w:t xml:space="preserve"> a. de natuurwaarde van de houtopstand;</w:t>
      </w:r>
    </w:p>
    <w:p w:rsidR="006D5731" w:rsidRDefault="00334BF5">
      <w:r>
        <w:t xml:space="preserve"> b. de landschappelijke waarde van de houtopstand;</w:t>
      </w:r>
    </w:p>
    <w:p w:rsidR="006D5731" w:rsidRDefault="00334BF5">
      <w:r>
        <w:t xml:space="preserve"> c. de waarde van de houtopstand voor stads- en dorpsschoon;</w:t>
      </w:r>
    </w:p>
    <w:p w:rsidR="006D5731" w:rsidRDefault="00334BF5">
      <w:r>
        <w:t xml:space="preserve"> d. de beeldbepalende waarde van de houtopstand;</w:t>
      </w:r>
    </w:p>
    <w:p w:rsidR="006D5731" w:rsidRDefault="00334BF5">
      <w:r>
        <w:t xml:space="preserve"> e. de cultuurhistorische waarde van de houtopstand; of</w:t>
      </w:r>
    </w:p>
    <w:p w:rsidR="006D5731" w:rsidRDefault="00334BF5">
      <w:r>
        <w:t xml:space="preserve"> f. de waarde voor de leefbaarheid van de houtopstand. </w:t>
      </w:r>
    </w:p>
    <w:p w:rsidR="006D5731" w:rsidRDefault="00334BF5">
      <w:r>
        <w:lastRenderedPageBreak/>
        <w:t>4. Het eerste lid is niet van toepassing als de burgemeester toestemming verleent voor het vellen van een houtopstand in verband met een spoedeisend belang voor de openbare orde of een direct gevaar voor personen of goederen.</w:t>
      </w:r>
    </w:p>
    <w:p w:rsidR="006D5731" w:rsidRDefault="00334BF5">
      <w:r>
        <w:t>5. Het bevoegd gezag kan een herplantplicht opleggen onder nader te stellen voorschriften.</w:t>
      </w:r>
    </w:p>
    <w:p w:rsidR="006D5731" w:rsidRDefault="00334BF5">
      <w:r>
        <w:t>6. Op de vergunning is paragraaf 4.1.3.3 van de Algemene wet bestuursrecht (positieve fictieve beschikking bij niet tijdig beslissen) van toepassing.</w:t>
      </w:r>
    </w:p>
    <w:p w:rsidR="006D5731" w:rsidRDefault="00334BF5">
      <w:r>
        <w:t xml:space="preserve"> </w:t>
      </w:r>
    </w:p>
    <w:p w:rsidR="006D5731" w:rsidRDefault="00334BF5">
      <w:r>
        <w:t>H</w:t>
      </w:r>
    </w:p>
    <w:p w:rsidR="006D5731" w:rsidRDefault="00334BF5">
      <w:r>
        <w:t>In artikel 5:8, vierde lid, wordt ‘Het verbod in het tweede lid is’ vervangen door: ‘De verboden in het eerste en tweede lid zijn’.</w:t>
      </w:r>
    </w:p>
    <w:p w:rsidR="006D5731" w:rsidRDefault="00334BF5">
      <w:r>
        <w:t xml:space="preserve"> </w:t>
      </w:r>
    </w:p>
    <w:p w:rsidR="006D5731" w:rsidRDefault="00334BF5">
      <w:r>
        <w:t>I</w:t>
      </w:r>
    </w:p>
    <w:p w:rsidR="006D5731" w:rsidRDefault="00334BF5">
      <w:r>
        <w:t>Artikel 5:13, derde lid, komt te luiden:</w:t>
      </w:r>
    </w:p>
    <w:p w:rsidR="006D5731" w:rsidRDefault="00334BF5">
      <w:r>
        <w:t xml:space="preserve"> </w:t>
      </w:r>
    </w:p>
    <w:p w:rsidR="006D5731" w:rsidRDefault="00334BF5">
      <w:r>
        <w:t>3. Het verbod geldt niet voor een inzameling die wordt gehouden:</w:t>
      </w:r>
    </w:p>
    <w:p w:rsidR="006D5731" w:rsidRDefault="00334BF5">
      <w:r>
        <w:t xml:space="preserve"> a. in besloten kring[, of OF ;]</w:t>
      </w:r>
    </w:p>
    <w:p w:rsidR="006D5731" w:rsidRDefault="00334BF5">
      <w:r>
        <w:t xml:space="preserve"> b. door een instelling met een CBF-keurmerk[, of</w:t>
      </w:r>
    </w:p>
    <w:p w:rsidR="006D5731" w:rsidRDefault="00334BF5">
      <w:r>
        <w:t xml:space="preserve"> c. door een andere, door het college aangewezen instelling.].</w:t>
      </w:r>
    </w:p>
    <w:p w:rsidR="006D5731" w:rsidRDefault="00334BF5">
      <w:pPr>
        <w:pStyle w:val="OPArtikelTitel"/>
      </w:pPr>
      <w:r>
        <w:t>Artikel II</w:t>
      </w:r>
    </w:p>
    <w:p w:rsidR="006D5731" w:rsidRDefault="00334BF5">
      <w:r>
        <w:t>[overgangsrecht (noodzaak en formulering hangen af van enerzijds de bestaande tekst van de verordening en anderzijds de daarin met dit besluit doorgevoerde wijzigingen)]</w:t>
      </w:r>
    </w:p>
    <w:p w:rsidR="006D5731" w:rsidRDefault="00334BF5">
      <w:r>
        <w:t xml:space="preserve"> </w:t>
      </w:r>
    </w:p>
    <w:p w:rsidR="006D5731" w:rsidRDefault="00334BF5">
      <w:pPr>
        <w:pStyle w:val="OPArtikelTitel"/>
      </w:pPr>
      <w:r>
        <w:t>Artikel III</w:t>
      </w:r>
    </w:p>
    <w:p w:rsidR="006D5731" w:rsidRDefault="00334BF5">
      <w:r>
        <w:t>Dit besluit treedt in werking op [datum].</w:t>
      </w:r>
    </w:p>
    <w:p w:rsidR="006D5731" w:rsidRDefault="00334BF5">
      <w:pPr>
        <w:pStyle w:val="OPOndertekening"/>
      </w:pPr>
      <w:r>
        <w:t>Aldus vastgesteld in de openbare raadsvergadering van [datum].</w:t>
      </w:r>
    </w:p>
    <w:p w:rsidR="006D5731" w:rsidRDefault="00334BF5">
      <w:pPr>
        <w:pStyle w:val="OPOndertekening"/>
      </w:pPr>
      <w:r>
        <w:t xml:space="preserve"> </w:t>
      </w:r>
    </w:p>
    <w:p w:rsidR="006D5731" w:rsidRDefault="00334BF5">
      <w:pPr>
        <w:pStyle w:val="OPOndertekening"/>
      </w:pPr>
      <w:r>
        <w:t>De voorzitter,</w:t>
      </w:r>
    </w:p>
    <w:p w:rsidR="006D5731" w:rsidRDefault="00334BF5">
      <w:pPr>
        <w:pStyle w:val="OPOndertekening"/>
      </w:pPr>
      <w:r>
        <w:t>De griffier,</w:t>
      </w:r>
    </w:p>
    <w:p w:rsidR="006D5731" w:rsidRDefault="006D5731">
      <w:bookmarkStart w:id="0" w:name="_GoBack"/>
      <w:bookmarkEnd w:id="0"/>
    </w:p>
    <w:sectPr w:rsidR="006D573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7B" w:rsidRDefault="00E3767B">
      <w:r>
        <w:separator/>
      </w:r>
    </w:p>
  </w:footnote>
  <w:footnote w:type="continuationSeparator" w:id="0">
    <w:p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BF5" w:rsidRPr="00E756CA" w:rsidRDefault="00334BF5" w:rsidP="00334BF5">
    <w:pPr>
      <w:pStyle w:val="Geenafstand"/>
      <w:rPr>
        <w:rFonts w:asciiTheme="minorHAnsi" w:hAnsiTheme="minorHAnsi"/>
        <w:b/>
      </w:rPr>
    </w:pPr>
  </w:p>
  <w:p w:rsidR="00334BF5" w:rsidRPr="00E756CA" w:rsidRDefault="00334BF5" w:rsidP="00334BF5">
    <w:pPr>
      <w:pStyle w:val="Geenafstand"/>
      <w:rPr>
        <w:rFonts w:asciiTheme="minorHAnsi" w:hAnsiTheme="minorHAnsi"/>
        <w:b/>
      </w:rPr>
    </w:pPr>
  </w:p>
  <w:p w:rsidR="00334BF5" w:rsidRPr="00E756CA" w:rsidRDefault="00334BF5" w:rsidP="00334BF5">
    <w:pPr>
      <w:pStyle w:val="Geenafstand"/>
      <w:pBdr>
        <w:top w:val="single" w:sz="4" w:space="1" w:color="auto"/>
        <w:left w:val="single" w:sz="4" w:space="4" w:color="auto"/>
        <w:bottom w:val="single" w:sz="4" w:space="1" w:color="auto"/>
        <w:right w:val="single" w:sz="4" w:space="4" w:color="auto"/>
      </w:pBdr>
      <w:rPr>
        <w:rFonts w:asciiTheme="minorHAnsi" w:hAnsiTheme="minorHAnsi"/>
        <w:b/>
      </w:rPr>
    </w:pPr>
    <w:r w:rsidRPr="00E756CA">
      <w:rPr>
        <w:rFonts w:asciiTheme="minorHAnsi" w:hAnsiTheme="minorHAnsi"/>
        <w:b/>
      </w:rPr>
      <w:t>Leeswijzer modelbepalingen</w:t>
    </w:r>
  </w:p>
  <w:p w:rsidR="00334BF5" w:rsidRPr="00E756CA" w:rsidRDefault="00334BF5" w:rsidP="00334BF5">
    <w:pPr>
      <w:pStyle w:val="Geenafstand"/>
      <w:pBdr>
        <w:top w:val="single" w:sz="4" w:space="1" w:color="auto"/>
        <w:left w:val="single" w:sz="4" w:space="4" w:color="auto"/>
        <w:bottom w:val="single" w:sz="4" w:space="1" w:color="auto"/>
        <w:right w:val="single" w:sz="4" w:space="4" w:color="auto"/>
      </w:pBdr>
      <w:rPr>
        <w:rFonts w:asciiTheme="minorHAnsi" w:hAnsiTheme="minorHAnsi"/>
        <w:b/>
      </w:rPr>
    </w:pPr>
  </w:p>
  <w:p w:rsidR="00334BF5" w:rsidRPr="00334BF5" w:rsidRDefault="00334BF5" w:rsidP="00334BF5">
    <w:pPr>
      <w:pBdr>
        <w:top w:val="single" w:sz="4" w:space="1" w:color="auto"/>
        <w:left w:val="single" w:sz="4" w:space="4" w:color="auto"/>
        <w:bottom w:val="single" w:sz="4" w:space="1" w:color="auto"/>
        <w:right w:val="single" w:sz="4" w:space="4" w:color="auto"/>
      </w:pBdr>
      <w:rPr>
        <w:rFonts w:asciiTheme="minorHAnsi" w:hAnsiTheme="minorHAnsi" w:cs="Arial"/>
      </w:rPr>
    </w:pPr>
    <w:r w:rsidRPr="00F61BA9">
      <w:rPr>
        <w:rFonts w:asciiTheme="minorHAnsi" w:hAnsiTheme="minorHAnsi" w:cs="Arial"/>
      </w:rPr>
      <w:t>- [</w:t>
    </w:r>
    <w:r w:rsidRPr="00F61BA9">
      <w:rPr>
        <w:rFonts w:asciiTheme="minorHAnsi" w:hAnsiTheme="minorHAnsi" w:cs="Arial"/>
        <w:b/>
      </w:rPr>
      <w:t>…</w:t>
    </w:r>
    <w:r w:rsidRPr="00F61BA9">
      <w:rPr>
        <w:rFonts w:asciiTheme="minorHAnsi" w:hAnsiTheme="minorHAnsi" w:cs="Arial"/>
      </w:rPr>
      <w:t>] of (bijvoorbeeld) [</w:t>
    </w:r>
    <w:r>
      <w:rPr>
        <w:rFonts w:asciiTheme="minorHAnsi" w:hAnsiTheme="minorHAnsi" w:cs="Arial"/>
        <w:b/>
        <w:bCs/>
      </w:rPr>
      <w:t>iets</w:t>
    </w:r>
    <w:r w:rsidRPr="00F61BA9">
      <w:rPr>
        <w:rFonts w:asciiTheme="minorHAnsi" w:hAnsiTheme="minorHAnsi" w:cs="Arial"/>
      </w:rPr>
      <w:t>] = door gemeente in te vullen.</w:t>
    </w:r>
    <w:r w:rsidRPr="00F61BA9">
      <w:rPr>
        <w:rFonts w:asciiTheme="minorHAnsi" w:hAnsiTheme="minorHAnsi" w:cs="Arial"/>
      </w:rPr>
      <w:br/>
      <w:t>- [</w:t>
    </w:r>
    <w:r w:rsidRPr="00F61BA9">
      <w:rPr>
        <w:rFonts w:asciiTheme="minorHAnsi" w:hAnsiTheme="minorHAnsi" w:cs="Arial"/>
        <w:i/>
      </w:rPr>
      <w:t>iets</w:t>
    </w:r>
    <w:r w:rsidRPr="00F61BA9">
      <w:rPr>
        <w:rFonts w:asciiTheme="minorHAnsi" w:hAnsiTheme="minorHAnsi" w:cs="Arial"/>
      </w:rPr>
      <w:t>] = facultatief.</w:t>
    </w:r>
    <w:r w:rsidRPr="00F61BA9">
      <w:rPr>
        <w:rFonts w:asciiTheme="minorHAnsi" w:hAnsiTheme="minorHAnsi" w:cs="Arial"/>
      </w:rPr>
      <w:br/>
      <w:t xml:space="preserve">- Combinaties zijn ook mogelijk. </w:t>
    </w:r>
  </w:p>
  <w:p w:rsidR="00334BF5" w:rsidRDefault="00334BF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2F561F"/>
    <w:multiLevelType w:val="multilevel"/>
    <w:tmpl w:val="6D0A8FDC"/>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34BF5"/>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D5731"/>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93336"/>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5:docId w15:val="{4814E5D5-DB29-4673-8701-58E30EDE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E93336"/>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E93336"/>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E9333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93336"/>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E93336"/>
    <w:pPr>
      <w:numPr>
        <w:ilvl w:val="1"/>
      </w:numPr>
    </w:pPr>
    <w:rPr>
      <w:rFonts w:eastAsiaTheme="majorEastAsia"/>
      <w:i/>
      <w:iCs w:val="0"/>
      <w:spacing w:val="15"/>
    </w:rPr>
  </w:style>
  <w:style w:type="character" w:customStyle="1" w:styleId="OndertitelChar">
    <w:name w:val="Ondertitel Char"/>
    <w:basedOn w:val="Standaardalinea-lettertype"/>
    <w:link w:val="Ondertitel"/>
    <w:rsid w:val="00E93336"/>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
    <w:basedOn w:val="Standaardalinea-lettertype"/>
    <w:link w:val="Kop1"/>
    <w:rsid w:val="00E93336"/>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2014-05-22T08:59:00Z</cp:lastPrinted>
  <dcterms:created xsi:type="dcterms:W3CDTF">2017-07-25T09:41:00Z</dcterms:created>
  <dcterms:modified xsi:type="dcterms:W3CDTF">2017-07-25T14:59:00Z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