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CE" w:rsidRDefault="007760CE" w:rsidP="007760CE">
      <w:pPr>
        <w:rPr>
          <w:b/>
        </w:rPr>
      </w:pPr>
      <w:r>
        <w:rPr>
          <w:b/>
        </w:rPr>
        <w:t>Commissieleden (en plaatsvervangend voorzitter) LKOG</w:t>
      </w:r>
      <w:r>
        <w:rPr>
          <w:b/>
        </w:rPr>
        <w:tab/>
        <w:t>FUNCTIEPROFIEL najaar 2018</w:t>
      </w:r>
    </w:p>
    <w:p w:rsidR="007760CE" w:rsidRDefault="007760CE" w:rsidP="007760CE">
      <w:r>
        <w:t xml:space="preserve">Gezocht:  </w:t>
      </w:r>
    </w:p>
    <w:p w:rsidR="007760CE" w:rsidRDefault="007760CE" w:rsidP="007760CE">
      <w:r>
        <w:t xml:space="preserve">Leden Landelijke Klachtencommissie Ongewenst Gedrag voor de decentrale overheid, eventueel in combinatie met de rol van plaatsvervangend voorzitter </w:t>
      </w:r>
    </w:p>
    <w:p w:rsidR="007760CE" w:rsidRDefault="007760CE" w:rsidP="007760CE">
      <w:r>
        <w:t xml:space="preserve">Juridische of </w:t>
      </w:r>
      <w:proofErr w:type="spellStart"/>
      <w:r>
        <w:t>sociaal-wetenschappelijke</w:t>
      </w:r>
      <w:proofErr w:type="spellEnd"/>
      <w:r>
        <w:t xml:space="preserve"> deskundigen met ervaring in het beoordelen van ongewenste omgangsvormen en klachtonderzoek. </w:t>
      </w:r>
    </w:p>
    <w:p w:rsidR="007760CE" w:rsidRDefault="007760CE" w:rsidP="007760CE">
      <w:pPr>
        <w:rPr>
          <w:b/>
        </w:rPr>
      </w:pPr>
      <w:r>
        <w:rPr>
          <w:b/>
        </w:rPr>
        <w:t>Wat is de LKOG</w:t>
      </w:r>
    </w:p>
    <w:p w:rsidR="007760CE" w:rsidRDefault="007760CE" w:rsidP="007760CE">
      <w:r>
        <w:t xml:space="preserve">De Landelijke Klachtencommissie Ongewenst Gedrag voor de Decentrale Overheid (LKOG) is een door het College voor Arbeidszaken van de Vereniging van Nederlandse Gemeenten (VNG) ingestelde externe commissie die als taak heeft het bevoegd gezag van gemeenten, provincies, waterschappen en gemeenschappelijke regelingen te adviseren in het kader van klachten over ongewenst gedrag in de zin van de Arbeidsomstandighedenwet. Er zijn circa 285 organisaties aangesloten bij de commissie. </w:t>
      </w:r>
    </w:p>
    <w:p w:rsidR="007760CE" w:rsidRDefault="007760CE" w:rsidP="007760CE">
      <w:r>
        <w:t xml:space="preserve">De commissie onderzoekt klachten op ontvankelijkheid, hoort partijen en anderen, doet derhalve aan waarheidsvinding en rapporteert haar bevindingen aan het bevoegd gezag, de klager en de aangeklaagde. De rapportage bevat een advies aan het bevoegd gezag over de gegrondheid van de klacht eventueel aangevuld met relevante adviezen en aanbevelingen aan de organisatie. </w:t>
      </w:r>
    </w:p>
    <w:p w:rsidR="007760CE" w:rsidRDefault="007760CE" w:rsidP="007760CE">
      <w:pPr>
        <w:rPr>
          <w:b/>
        </w:rPr>
      </w:pPr>
      <w:r>
        <w:rPr>
          <w:b/>
        </w:rPr>
        <w:t>Hoe is de LKOG georganiseerd</w:t>
      </w:r>
    </w:p>
    <w:p w:rsidR="007760CE" w:rsidRDefault="007760CE" w:rsidP="007760CE">
      <w:r>
        <w:t xml:space="preserve">De landelijke Klachtencommissie heeft een voorzitter, een secretaris en een aantal leden. Sommige leden vervullen de rol van plaatsvervangend voorzitter of plaatsvervangend secretaris bij de behandeling van een specifieke klacht. De samenstelling van een commissie vindt plaats onder verantwoordelijkheid van de voorzitter van de LKOG, ondersteund door de secretaris. </w:t>
      </w:r>
    </w:p>
    <w:p w:rsidR="007760CE" w:rsidRDefault="007760CE" w:rsidP="007760CE">
      <w:r>
        <w:t xml:space="preserve">De commissie beschikt over zowel juridische als sociaalwetenschappelijke deskundigheid en bestaat uit ten minste twee en maximaal vier onafhankelijke, onpartijdige en deskundige personen die benoemd zijn tot lid van de LKOG. Samenstelling van de commissie om een klacht te behandelen vindt plaats aan de hand van de voor een zaak benodigde expertise, verdeling man-vrouw en beschikbaarheid. </w:t>
      </w:r>
    </w:p>
    <w:p w:rsidR="007760CE" w:rsidRDefault="007760CE" w:rsidP="007760CE">
      <w:r>
        <w:t xml:space="preserve">Registratie van klachten, archivering en financiële afwikkeling is ondergebracht bij de VNG. Zie voor meer informatie www.vng.nl/ongewenstgedrag.  </w:t>
      </w:r>
    </w:p>
    <w:p w:rsidR="007760CE" w:rsidRDefault="007760CE" w:rsidP="007760CE">
      <w:pPr>
        <w:rPr>
          <w:b/>
        </w:rPr>
      </w:pPr>
      <w:r>
        <w:rPr>
          <w:b/>
        </w:rPr>
        <w:t xml:space="preserve">Functie-eisen commissielid </w:t>
      </w:r>
    </w:p>
    <w:p w:rsidR="007760CE" w:rsidRDefault="007760CE" w:rsidP="007760CE">
      <w:pPr>
        <w:pStyle w:val="Lijstalinea"/>
        <w:numPr>
          <w:ilvl w:val="0"/>
          <w:numId w:val="47"/>
        </w:numPr>
      </w:pPr>
      <w:r>
        <w:t xml:space="preserve">(Academische) juridische (kennis van het ambtenarenrecht is  een pre) of sociaalwetenschappelijke opleiding </w:t>
      </w:r>
    </w:p>
    <w:p w:rsidR="007760CE" w:rsidRDefault="007760CE" w:rsidP="007760CE">
      <w:pPr>
        <w:pStyle w:val="Lijstalinea"/>
        <w:numPr>
          <w:ilvl w:val="0"/>
          <w:numId w:val="47"/>
        </w:numPr>
      </w:pPr>
      <w:r>
        <w:t xml:space="preserve">Ervaring binnen de overheid </w:t>
      </w:r>
    </w:p>
    <w:p w:rsidR="007760CE" w:rsidRDefault="007760CE" w:rsidP="007760CE">
      <w:pPr>
        <w:pStyle w:val="Lijstalinea"/>
        <w:numPr>
          <w:ilvl w:val="0"/>
          <w:numId w:val="47"/>
        </w:numPr>
      </w:pPr>
      <w:r>
        <w:t xml:space="preserve">Ruime ervaring met klachtonderzoek op het gebied van ongewenste omgangsvormen </w:t>
      </w:r>
    </w:p>
    <w:p w:rsidR="007760CE" w:rsidRDefault="007760CE" w:rsidP="007760CE">
      <w:pPr>
        <w:pStyle w:val="Lijstalinea"/>
        <w:numPr>
          <w:ilvl w:val="0"/>
          <w:numId w:val="47"/>
        </w:numPr>
      </w:pPr>
      <w:r>
        <w:t xml:space="preserve">Kennis van de relevante wet- en regelgeving </w:t>
      </w:r>
    </w:p>
    <w:p w:rsidR="007760CE" w:rsidRDefault="007760CE" w:rsidP="007760CE">
      <w:pPr>
        <w:pStyle w:val="Lijstalinea"/>
        <w:numPr>
          <w:ilvl w:val="0"/>
          <w:numId w:val="47"/>
        </w:numPr>
      </w:pPr>
      <w:r>
        <w:t xml:space="preserve">Kennis van de individuele en groepsprocessen die spelen bij ongewenst gedrag </w:t>
      </w:r>
    </w:p>
    <w:p w:rsidR="007760CE" w:rsidRDefault="007760CE" w:rsidP="007760CE">
      <w:pPr>
        <w:pStyle w:val="Lijstalinea"/>
        <w:numPr>
          <w:ilvl w:val="0"/>
          <w:numId w:val="47"/>
        </w:numPr>
      </w:pPr>
      <w:r>
        <w:t>Kennis van (seksueel) overschrijdend gedrag en ervaring in het in gesprek zijn hierover</w:t>
      </w:r>
    </w:p>
    <w:p w:rsidR="007760CE" w:rsidRDefault="007760CE" w:rsidP="007760CE">
      <w:pPr>
        <w:pStyle w:val="Lijstalinea"/>
        <w:numPr>
          <w:ilvl w:val="0"/>
          <w:numId w:val="47"/>
        </w:numPr>
      </w:pPr>
      <w:r>
        <w:t xml:space="preserve">Ervaring met relevante advisering, onderzoek en besluitvorming </w:t>
      </w:r>
    </w:p>
    <w:p w:rsidR="007760CE" w:rsidRDefault="007760CE" w:rsidP="007760CE">
      <w:pPr>
        <w:pStyle w:val="Lijstalinea"/>
        <w:numPr>
          <w:ilvl w:val="0"/>
          <w:numId w:val="47"/>
        </w:numPr>
      </w:pPr>
      <w:r>
        <w:t xml:space="preserve">Gespreksvaardig;  adviesvaardig </w:t>
      </w:r>
    </w:p>
    <w:p w:rsidR="007760CE" w:rsidRDefault="007760CE" w:rsidP="007760CE">
      <w:pPr>
        <w:pStyle w:val="Lijstalinea"/>
        <w:numPr>
          <w:ilvl w:val="0"/>
          <w:numId w:val="47"/>
        </w:numPr>
      </w:pPr>
      <w:r>
        <w:t xml:space="preserve">Denkt en handelt onafhankelijk en oordeelsvrij </w:t>
      </w:r>
    </w:p>
    <w:p w:rsidR="007760CE" w:rsidRDefault="007760CE" w:rsidP="007760CE">
      <w:pPr>
        <w:pStyle w:val="Lijstalinea"/>
        <w:numPr>
          <w:ilvl w:val="0"/>
          <w:numId w:val="47"/>
        </w:numPr>
      </w:pPr>
      <w:r>
        <w:lastRenderedPageBreak/>
        <w:t xml:space="preserve">Levenservaring en integer </w:t>
      </w:r>
    </w:p>
    <w:p w:rsidR="007760CE" w:rsidRDefault="007760CE" w:rsidP="007760CE">
      <w:pPr>
        <w:pStyle w:val="Lijstalinea"/>
        <w:numPr>
          <w:ilvl w:val="0"/>
          <w:numId w:val="47"/>
        </w:numPr>
      </w:pPr>
      <w:r>
        <w:t xml:space="preserve">Kennis van diversiteit en multiculturele aspecten is een pre  </w:t>
      </w:r>
    </w:p>
    <w:p w:rsidR="007760CE" w:rsidRDefault="007760CE" w:rsidP="007760CE">
      <w:pPr>
        <w:pStyle w:val="Lijstalinea"/>
        <w:numPr>
          <w:ilvl w:val="0"/>
          <w:numId w:val="47"/>
        </w:numPr>
      </w:pPr>
      <w:r>
        <w:t xml:space="preserve">In staat werktijd flexibel in te delen </w:t>
      </w:r>
    </w:p>
    <w:p w:rsidR="007760CE" w:rsidRDefault="007760CE" w:rsidP="007760CE">
      <w:pPr>
        <w:rPr>
          <w:b/>
        </w:rPr>
      </w:pPr>
      <w:r>
        <w:rPr>
          <w:b/>
        </w:rPr>
        <w:t xml:space="preserve">Aanvullende functie-eisen voor de rol van plaatsvervangend voorzitter in een commissie </w:t>
      </w:r>
    </w:p>
    <w:p w:rsidR="007760CE" w:rsidRDefault="007760CE" w:rsidP="007760CE">
      <w:pPr>
        <w:pStyle w:val="Lijstalinea"/>
        <w:numPr>
          <w:ilvl w:val="0"/>
          <w:numId w:val="48"/>
        </w:numPr>
      </w:pPr>
      <w:r>
        <w:t xml:space="preserve">Leidinggevende ervaring binnen de overheid </w:t>
      </w:r>
    </w:p>
    <w:p w:rsidR="007760CE" w:rsidRDefault="007760CE" w:rsidP="007760CE">
      <w:pPr>
        <w:pStyle w:val="Lijstalinea"/>
        <w:numPr>
          <w:ilvl w:val="0"/>
          <w:numId w:val="48"/>
        </w:numPr>
      </w:pPr>
      <w:r>
        <w:t xml:space="preserve">Verbindend leiderschap </w:t>
      </w:r>
    </w:p>
    <w:p w:rsidR="007760CE" w:rsidRDefault="007760CE" w:rsidP="007760CE">
      <w:pPr>
        <w:pStyle w:val="Lijstalinea"/>
        <w:numPr>
          <w:ilvl w:val="0"/>
          <w:numId w:val="48"/>
        </w:numPr>
        <w:rPr>
          <w:b/>
        </w:rPr>
      </w:pPr>
      <w:r>
        <w:t xml:space="preserve">Kwaliteit- en resultaatgericht </w:t>
      </w:r>
    </w:p>
    <w:p w:rsidR="007760CE" w:rsidRDefault="007760CE" w:rsidP="007760CE">
      <w:pPr>
        <w:rPr>
          <w:b/>
        </w:rPr>
      </w:pPr>
    </w:p>
    <w:p w:rsidR="007760CE" w:rsidRDefault="007760CE" w:rsidP="007760CE">
      <w:pPr>
        <w:rPr>
          <w:b/>
        </w:rPr>
      </w:pPr>
      <w:r>
        <w:rPr>
          <w:b/>
        </w:rPr>
        <w:t>Tijdsbesteding en vergoedingen</w:t>
      </w:r>
    </w:p>
    <w:p w:rsidR="007760CE" w:rsidRDefault="007760CE" w:rsidP="007760CE">
      <w:r>
        <w:t xml:space="preserve">Voor commissieleden is de totale tijdsinvestering per jaar afhankelijk van het aantal klachten dat bij de LKOG binnenkomt, hoeveel van deze klachten tot een behandeling leiden, de complexiteit van de klacht en de rol die het commissielid heeft. </w:t>
      </w:r>
    </w:p>
    <w:p w:rsidR="007760CE" w:rsidRDefault="007760CE" w:rsidP="007760CE">
      <w:r>
        <w:t xml:space="preserve">De afgelopen 3 jaren zijn er gemiddeld 14 klachten per jaar in behandeling genomen en namen leden gemiddeld 2 keer per jaar deel aan een commissie. De voorzitter besteedt gemiddeld 12 uur aan de behandeling van een klacht en een lid 10 uur.   </w:t>
      </w:r>
    </w:p>
    <w:p w:rsidR="007760CE" w:rsidRDefault="007760CE" w:rsidP="007760CE">
      <w:r>
        <w:t>De (plaatsvervangend) voorzitter leidt het onderzoek en verzorgt de terugkoppeling naar het bevoegd gezag, hierbij ondersteund door de secretaris.</w:t>
      </w:r>
    </w:p>
    <w:p w:rsidR="007760CE" w:rsidRDefault="007760CE" w:rsidP="007760CE">
      <w:r>
        <w:t>Het horen van klager, aangeklaagde en anderen vindt op locatie plaats. Tijdsbesteding per klacht op locatie is vaak twee dagdelen maar bij complexe situaties kunnen één of meer extra dagdelen nodig zijn. Daarnaast worden enkele uren per klacht besteed aan het meelezen van verslagen en het meedenken over het advies.</w:t>
      </w:r>
    </w:p>
    <w:p w:rsidR="007760CE" w:rsidRDefault="007760CE" w:rsidP="007760CE">
      <w:r>
        <w:t>De vergoeding voor commissiewerk is per dagdeel € 260,- exclusief BTW plus reiskosten van 28c per gereden kilometer of vergoeding kosten openbaar vervoer. Voor onderzoek geldt een tarief van €135 per uur.</w:t>
      </w:r>
    </w:p>
    <w:p w:rsidR="007760CE" w:rsidRDefault="007760CE" w:rsidP="007760CE">
      <w:r>
        <w:t xml:space="preserve">Per 2019 zoekt de VNG versterking van de Landelijke klachtencommissie Ongewenst Gedrag in verband met het vertrek van enkele commissieleden. Benoemingen zijn voor een periode van 6 jaar en kunnen eenmalig worden verlengd. </w:t>
      </w:r>
    </w:p>
    <w:p w:rsidR="007760CE" w:rsidRDefault="007760CE" w:rsidP="007760CE"/>
    <w:p w:rsidR="007760CE" w:rsidRDefault="007760CE" w:rsidP="007760CE">
      <w:pPr>
        <w:rPr>
          <w:b/>
        </w:rPr>
      </w:pPr>
      <w:r>
        <w:rPr>
          <w:b/>
        </w:rPr>
        <w:t xml:space="preserve">Geïnteresseerd? </w:t>
      </w:r>
    </w:p>
    <w:p w:rsidR="007760CE" w:rsidRDefault="007760CE" w:rsidP="007760CE">
      <w:r>
        <w:t xml:space="preserve">Geïnteresseerden nodigen wij van harte uit om tot 14 december </w:t>
      </w:r>
      <w:r w:rsidR="003603B4">
        <w:t>2018</w:t>
      </w:r>
      <w:r>
        <w:t xml:space="preserve"> hun CV met motivatie te sturen naar: </w:t>
      </w:r>
      <w:r w:rsidR="00BF0B37">
        <w:t>klachtencommissie.ongewenstgedrag@VNG.nl</w:t>
      </w:r>
      <w:bookmarkStart w:id="0" w:name="_GoBack"/>
      <w:bookmarkEnd w:id="0"/>
      <w:r>
        <w:t xml:space="preserve">. Op </w:t>
      </w:r>
      <w:r w:rsidR="003603B4">
        <w:t>20 december 2018</w:t>
      </w:r>
      <w:r>
        <w:t xml:space="preserve"> vinden de selectiegesprekken plaats. De selectiecommissie bestaat uit een vertegenwoordiger van het College van Arbeidszaken en de voorzitter en secretaris LKOG. Voor meer informatie kunt u contact opnemen met </w:t>
      </w:r>
      <w:r w:rsidR="003603B4">
        <w:t>Mevr. T. de Reu, klachtencommissie.ongewenstgedrag@VNG.nl, tel 06-10917087</w:t>
      </w:r>
      <w:r>
        <w:t>.</w:t>
      </w:r>
    </w:p>
    <w:p w:rsidR="002E2DD0" w:rsidRPr="00E14ADB" w:rsidRDefault="002E2DD0" w:rsidP="00E14ADB">
      <w:pPr>
        <w:rPr>
          <w:rFonts w:eastAsiaTheme="majorEastAsia"/>
        </w:rPr>
      </w:pPr>
    </w:p>
    <w:sectPr w:rsidR="002E2DD0" w:rsidRPr="00E14ADB" w:rsidSect="00E26D33">
      <w:headerReference w:type="even" r:id="rId8"/>
      <w:headerReference w:type="default" r:id="rId9"/>
      <w:footerReference w:type="even" r:id="rId10"/>
      <w:footerReference w:type="default" r:id="rId11"/>
      <w:headerReference w:type="first" r:id="rId12"/>
      <w:footerReference w:type="firs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CE" w:rsidRDefault="007760CE" w:rsidP="00A14B69">
      <w:r>
        <w:separator/>
      </w:r>
    </w:p>
    <w:p w:rsidR="007760CE" w:rsidRDefault="007760CE"/>
  </w:endnote>
  <w:endnote w:type="continuationSeparator" w:id="0">
    <w:p w:rsidR="007760CE" w:rsidRDefault="007760CE" w:rsidP="00A14B69">
      <w:r>
        <w:continuationSeparator/>
      </w:r>
    </w:p>
    <w:p w:rsidR="007760CE" w:rsidRDefault="00776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83" w:rsidRDefault="0065588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83" w:rsidRDefault="006558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83" w:rsidRDefault="006558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CE" w:rsidRDefault="007760CE">
      <w:r>
        <w:separator/>
      </w:r>
    </w:p>
  </w:footnote>
  <w:footnote w:type="continuationSeparator" w:id="0">
    <w:p w:rsidR="007760CE" w:rsidRDefault="007760CE" w:rsidP="00A14B69">
      <w:r>
        <w:continuationSeparator/>
      </w:r>
    </w:p>
    <w:p w:rsidR="007760CE" w:rsidRDefault="007760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83" w:rsidRDefault="006558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83" w:rsidRDefault="006558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83" w:rsidRDefault="006558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CFB1C98"/>
    <w:multiLevelType w:val="hybridMultilevel"/>
    <w:tmpl w:val="36780724"/>
    <w:lvl w:ilvl="0" w:tplc="E4BC971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0"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6" w15:restartNumberingAfterBreak="0">
    <w:nsid w:val="6998479B"/>
    <w:multiLevelType w:val="multilevel"/>
    <w:tmpl w:val="0562E376"/>
    <w:numStyleLink w:val="VNGOngenummerdelijst"/>
  </w:abstractNum>
  <w:abstractNum w:abstractNumId="37" w15:restartNumberingAfterBreak="0">
    <w:nsid w:val="69DD0E41"/>
    <w:multiLevelType w:val="multilevel"/>
    <w:tmpl w:val="921CE4C8"/>
    <w:numStyleLink w:val="VNGGenummerdelijst"/>
  </w:abstractNum>
  <w:abstractNum w:abstractNumId="38"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2" w15:restartNumberingAfterBreak="0">
    <w:nsid w:val="75D706D1"/>
    <w:multiLevelType w:val="hybridMultilevel"/>
    <w:tmpl w:val="45CAED5E"/>
    <w:lvl w:ilvl="0" w:tplc="E4BC9712">
      <w:start w:val="1"/>
      <w:numFmt w:val="bullet"/>
      <w:lvlText w:val=""/>
      <w:lvlJc w:val="left"/>
      <w:pPr>
        <w:ind w:left="720" w:hanging="360"/>
      </w:pPr>
      <w:rPr>
        <w:rFonts w:ascii="Symbol" w:hAnsi="Symbol" w:hint="default"/>
      </w:rPr>
    </w:lvl>
    <w:lvl w:ilvl="1" w:tplc="D30C2248">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4"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9"/>
  </w:num>
  <w:num w:numId="2">
    <w:abstractNumId w:val="29"/>
  </w:num>
  <w:num w:numId="3">
    <w:abstractNumId w:val="35"/>
  </w:num>
  <w:num w:numId="4">
    <w:abstractNumId w:val="18"/>
  </w:num>
  <w:num w:numId="5">
    <w:abstractNumId w:val="15"/>
  </w:num>
  <w:num w:numId="6">
    <w:abstractNumId w:val="13"/>
  </w:num>
  <w:num w:numId="7">
    <w:abstractNumId w:val="8"/>
  </w:num>
  <w:num w:numId="8">
    <w:abstractNumId w:val="30"/>
  </w:num>
  <w:num w:numId="9">
    <w:abstractNumId w:val="34"/>
  </w:num>
  <w:num w:numId="10">
    <w:abstractNumId w:val="26"/>
  </w:num>
  <w:num w:numId="11">
    <w:abstractNumId w:val="33"/>
  </w:num>
  <w:num w:numId="12">
    <w:abstractNumId w:val="27"/>
  </w:num>
  <w:num w:numId="13">
    <w:abstractNumId w:val="23"/>
  </w:num>
  <w:num w:numId="14">
    <w:abstractNumId w:val="6"/>
  </w:num>
  <w:num w:numId="15">
    <w:abstractNumId w:val="10"/>
  </w:num>
  <w:num w:numId="16">
    <w:abstractNumId w:val="37"/>
  </w:num>
  <w:num w:numId="17">
    <w:abstractNumId w:val="7"/>
  </w:num>
  <w:num w:numId="18">
    <w:abstractNumId w:val="0"/>
  </w:num>
  <w:num w:numId="19">
    <w:abstractNumId w:val="36"/>
  </w:num>
  <w:num w:numId="20">
    <w:abstractNumId w:val="12"/>
  </w:num>
  <w:num w:numId="21">
    <w:abstractNumId w:val="29"/>
  </w:num>
  <w:num w:numId="22">
    <w:abstractNumId w:val="29"/>
  </w:num>
  <w:num w:numId="23">
    <w:abstractNumId w:val="29"/>
  </w:num>
  <w:num w:numId="24">
    <w:abstractNumId w:val="29"/>
  </w:num>
  <w:num w:numId="25">
    <w:abstractNumId w:val="29"/>
  </w:num>
  <w:num w:numId="26">
    <w:abstractNumId w:val="25"/>
  </w:num>
  <w:num w:numId="27">
    <w:abstractNumId w:val="43"/>
  </w:num>
  <w:num w:numId="28">
    <w:abstractNumId w:val="24"/>
  </w:num>
  <w:num w:numId="29">
    <w:abstractNumId w:val="44"/>
  </w:num>
  <w:num w:numId="30">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20"/>
  </w:num>
  <w:num w:numId="40">
    <w:abstractNumId w:val="2"/>
  </w:num>
  <w:num w:numId="41">
    <w:abstractNumId w:val="38"/>
  </w:num>
  <w:num w:numId="42">
    <w:abstractNumId w:val="41"/>
  </w:num>
  <w:num w:numId="43">
    <w:abstractNumId w:val="32"/>
  </w:num>
  <w:num w:numId="44">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 w:numId="47">
    <w:abstractNumId w:val="42"/>
  </w:num>
  <w:num w:numId="4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7760CE"/>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03B4"/>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0CE"/>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92778"/>
    <w:rsid w:val="00BA61BC"/>
    <w:rsid w:val="00BB5293"/>
    <w:rsid w:val="00BC1BFA"/>
    <w:rsid w:val="00BC23C3"/>
    <w:rsid w:val="00BD1E00"/>
    <w:rsid w:val="00BD3CF1"/>
    <w:rsid w:val="00BE61F5"/>
    <w:rsid w:val="00BF0B37"/>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60CE"/>
    <w:pPr>
      <w:spacing w:after="160" w:line="256" w:lineRule="auto"/>
    </w:pPr>
    <w:rPr>
      <w:rFonts w:asciiTheme="minorHAnsi" w:eastAsiaTheme="minorHAnsi" w:hAnsiTheme="minorHAnsi" w:cstheme="minorBidi"/>
      <w:sz w:val="22"/>
      <w:szCs w:val="22"/>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uiPriority w:val="3"/>
    <w:qFormat/>
    <w:rsid w:val="00942E93"/>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EF0A3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942E93"/>
    <w:pPr>
      <w:keepLines/>
      <w:pBdr>
        <w:top w:val="single" w:sz="6" w:space="10" w:color="101010"/>
        <w:left w:val="single" w:sz="6" w:space="12" w:color="101010"/>
        <w:bottom w:val="single" w:sz="6" w:space="10" w:color="101010"/>
        <w:right w:val="single" w:sz="6" w:space="12" w:color="101010"/>
      </w:pBdr>
      <w:spacing w:before="200" w:after="200"/>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EF0A3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942E93"/>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EF0A3E"/>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EF0A3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942E93"/>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5461-4CEA-4BFA-8112-3560D8E0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2</Pages>
  <Words>697</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2018-11-26T08:19:00Z</dcterms:created>
  <dcterms:modified xsi:type="dcterms:W3CDTF">2018-11-26T08:54:00Z</dcterms:modified>
</cp:coreProperties>
</file>